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19"/>
        </w:tabs>
        <w:autoSpaceDE w:val="0"/>
        <w:autoSpaceDN w:val="0"/>
        <w:adjustRightInd w:val="0"/>
        <w:snapToGrid w:val="0"/>
        <w:ind w:left="1562" w:hanging="1555" w:hangingChars="490"/>
        <w:rPr>
          <w:rFonts w:hint="eastAsia" w:ascii="宋体" w:hAnsi="宋体" w:eastAsia="宋体" w:cs="宋体"/>
          <w:b/>
          <w:snapToGrid w:val="0"/>
          <w:color w:val="auto"/>
          <w:w w:val="99"/>
          <w:kern w:val="0"/>
          <w:sz w:val="32"/>
          <w:szCs w:val="32"/>
          <w:highlight w:val="none"/>
        </w:rPr>
      </w:pPr>
    </w:p>
    <w:p>
      <w:pPr>
        <w:tabs>
          <w:tab w:val="left" w:pos="6219"/>
        </w:tabs>
        <w:autoSpaceDE w:val="0"/>
        <w:autoSpaceDN w:val="0"/>
        <w:adjustRightInd w:val="0"/>
        <w:snapToGrid w:val="0"/>
        <w:ind w:left="1562" w:hanging="1555" w:hangingChars="490"/>
        <w:jc w:val="center"/>
        <w:rPr>
          <w:rFonts w:hint="eastAsia" w:ascii="宋体" w:hAnsi="宋体" w:eastAsia="宋体" w:cs="宋体"/>
          <w:b/>
          <w:snapToGrid w:val="0"/>
          <w:color w:val="auto"/>
          <w:w w:val="99"/>
          <w:kern w:val="0"/>
          <w:sz w:val="32"/>
          <w:szCs w:val="32"/>
          <w:highlight w:val="none"/>
          <w:lang w:eastAsia="zh-CN"/>
        </w:rPr>
      </w:pPr>
      <w:r>
        <w:rPr>
          <w:rFonts w:hint="eastAsia" w:ascii="宋体" w:hAnsi="宋体" w:eastAsia="宋体" w:cs="宋体"/>
          <w:b/>
          <w:snapToGrid w:val="0"/>
          <w:color w:val="auto"/>
          <w:w w:val="99"/>
          <w:kern w:val="0"/>
          <w:sz w:val="32"/>
          <w:szCs w:val="32"/>
          <w:highlight w:val="none"/>
        </w:rPr>
        <w:t>项目名称：</w:t>
      </w:r>
      <w:r>
        <w:rPr>
          <w:rFonts w:hint="eastAsia" w:ascii="宋体" w:hAnsi="宋体" w:eastAsia="宋体" w:cs="宋体"/>
          <w:b/>
          <w:snapToGrid w:val="0"/>
          <w:color w:val="auto"/>
          <w:w w:val="99"/>
          <w:kern w:val="0"/>
          <w:sz w:val="32"/>
          <w:szCs w:val="32"/>
          <w:highlight w:val="none"/>
          <w:lang w:eastAsia="zh-CN"/>
        </w:rPr>
        <w:t>重庆水资源产业股份有限公司供水客服话务中心服务外包项目</w:t>
      </w: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jc w:val="center"/>
        <w:rPr>
          <w:rFonts w:ascii="宋体" w:hAnsi="宋体" w:eastAsia="宋体" w:cs="宋体"/>
          <w:b/>
          <w:snapToGrid w:val="0"/>
          <w:color w:val="auto"/>
          <w:kern w:val="0"/>
          <w:sz w:val="100"/>
          <w:szCs w:val="100"/>
          <w:highlight w:val="none"/>
        </w:rPr>
      </w:pPr>
      <w:r>
        <w:rPr>
          <w:rFonts w:hint="eastAsia" w:ascii="宋体" w:hAnsi="宋体" w:eastAsia="宋体" w:cs="宋体"/>
          <w:b/>
          <w:snapToGrid w:val="0"/>
          <w:color w:val="auto"/>
          <w:kern w:val="0"/>
          <w:sz w:val="100"/>
          <w:szCs w:val="100"/>
          <w:highlight w:val="none"/>
        </w:rPr>
        <w:t>招　标　文　件</w:t>
      </w:r>
    </w:p>
    <w:p>
      <w:pPr>
        <w:autoSpaceDE w:val="0"/>
        <w:autoSpaceDN w:val="0"/>
        <w:adjustRightInd w:val="0"/>
        <w:snapToGrid w:val="0"/>
        <w:rPr>
          <w:rFonts w:ascii="宋体" w:hAnsi="宋体" w:eastAsia="宋体" w:cs="宋体"/>
          <w:snapToGrid w:val="0"/>
          <w:color w:val="auto"/>
          <w:kern w:val="0"/>
          <w:sz w:val="10"/>
          <w:szCs w:val="10"/>
          <w:highlight w:val="none"/>
        </w:rPr>
      </w:pPr>
    </w:p>
    <w:p>
      <w:pPr>
        <w:autoSpaceDE w:val="0"/>
        <w:autoSpaceDN w:val="0"/>
        <w:adjustRightInd w:val="0"/>
        <w:snapToGrid w:val="0"/>
        <w:jc w:val="center"/>
        <w:rPr>
          <w:rFonts w:hint="default" w:ascii="宋体" w:hAnsi="宋体" w:eastAsia="宋体" w:cs="宋体"/>
          <w:snapToGrid w:val="0"/>
          <w:color w:val="auto"/>
          <w:kern w:val="0"/>
          <w:sz w:val="20"/>
          <w:szCs w:val="20"/>
          <w:highlight w:val="none"/>
          <w:lang w:val="en-US" w:eastAsia="zh-CN"/>
        </w:rPr>
      </w:pPr>
      <w:r>
        <w:rPr>
          <w:rFonts w:hint="eastAsia" w:ascii="宋体" w:hAnsi="宋体" w:eastAsia="宋体" w:cs="宋体"/>
          <w:b/>
          <w:snapToGrid w:val="0"/>
          <w:color w:val="auto"/>
          <w:w w:val="99"/>
          <w:kern w:val="0"/>
          <w:sz w:val="32"/>
          <w:szCs w:val="32"/>
          <w:highlight w:val="none"/>
        </w:rPr>
        <w:t>招标编号：</w:t>
      </w:r>
      <w:r>
        <w:rPr>
          <w:rFonts w:ascii="宋体" w:hAnsi="宋体" w:eastAsia="宋体" w:cs="宋体"/>
          <w:b/>
          <w:snapToGrid w:val="0"/>
          <w:color w:val="auto"/>
          <w:w w:val="99"/>
          <w:kern w:val="0"/>
          <w:sz w:val="32"/>
          <w:szCs w:val="32"/>
        </w:rPr>
        <w:t>HYZB202</w:t>
      </w:r>
      <w:r>
        <w:rPr>
          <w:rFonts w:hint="eastAsia" w:ascii="宋体" w:hAnsi="宋体" w:eastAsia="宋体" w:cs="宋体"/>
          <w:b/>
          <w:snapToGrid w:val="0"/>
          <w:color w:val="auto"/>
          <w:w w:val="99"/>
          <w:kern w:val="0"/>
          <w:sz w:val="32"/>
          <w:szCs w:val="32"/>
        </w:rPr>
        <w:t>3-</w:t>
      </w:r>
      <w:r>
        <w:rPr>
          <w:rFonts w:hint="eastAsia" w:ascii="宋体" w:hAnsi="宋体" w:eastAsia="宋体" w:cs="宋体"/>
          <w:b/>
          <w:snapToGrid w:val="0"/>
          <w:color w:val="auto"/>
          <w:w w:val="99"/>
          <w:kern w:val="0"/>
          <w:sz w:val="32"/>
          <w:szCs w:val="32"/>
          <w:lang w:val="en-US" w:eastAsia="zh-CN"/>
        </w:rPr>
        <w:t>412</w:t>
      </w: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pStyle w:val="44"/>
        <w:rPr>
          <w:rFonts w:ascii="宋体" w:hAnsi="宋体" w:eastAsia="宋体" w:cs="宋体"/>
          <w:snapToGrid w:val="0"/>
          <w:color w:val="auto"/>
          <w:kern w:val="0"/>
          <w:sz w:val="20"/>
          <w:szCs w:val="20"/>
          <w:highlight w:val="none"/>
        </w:rPr>
      </w:pPr>
    </w:p>
    <w:p>
      <w:pPr>
        <w:pStyle w:val="44"/>
        <w:rPr>
          <w:rFonts w:ascii="宋体" w:hAnsi="宋体" w:eastAsia="宋体" w:cs="宋体"/>
          <w:snapToGrid w:val="0"/>
          <w:color w:val="auto"/>
          <w:kern w:val="0"/>
          <w:sz w:val="20"/>
          <w:szCs w:val="20"/>
          <w:highlight w:val="none"/>
        </w:rPr>
      </w:pPr>
    </w:p>
    <w:p>
      <w:pPr>
        <w:pStyle w:val="29"/>
        <w:rPr>
          <w:rFonts w:ascii="宋体" w:hAnsi="宋体" w:eastAsia="宋体" w:cs="宋体"/>
          <w:snapToGrid w:val="0"/>
          <w:color w:val="auto"/>
          <w:kern w:val="0"/>
          <w:sz w:val="20"/>
          <w:szCs w:val="20"/>
          <w:highlight w:val="none"/>
        </w:rPr>
      </w:pPr>
    </w:p>
    <w:p>
      <w:pPr>
        <w:rPr>
          <w:color w:val="auto"/>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tabs>
          <w:tab w:val="left" w:pos="6219"/>
        </w:tabs>
        <w:autoSpaceDE w:val="0"/>
        <w:autoSpaceDN w:val="0"/>
        <w:adjustRightInd w:val="0"/>
        <w:snapToGrid w:val="0"/>
        <w:jc w:val="center"/>
        <w:rPr>
          <w:rFonts w:ascii="宋体" w:hAnsi="宋体" w:eastAsia="宋体" w:cs="宋体"/>
          <w:b/>
          <w:snapToGrid w:val="0"/>
          <w:color w:val="auto"/>
          <w:w w:val="90"/>
          <w:kern w:val="0"/>
          <w:sz w:val="30"/>
          <w:szCs w:val="30"/>
          <w:highlight w:val="none"/>
        </w:rPr>
      </w:pPr>
      <w:r>
        <w:rPr>
          <w:rFonts w:hint="eastAsia" w:ascii="宋体" w:hAnsi="宋体" w:eastAsia="宋体" w:cs="宋体"/>
          <w:b/>
          <w:snapToGrid w:val="0"/>
          <w:color w:val="auto"/>
          <w:w w:val="90"/>
          <w:kern w:val="0"/>
          <w:sz w:val="30"/>
          <w:szCs w:val="30"/>
          <w:highlight w:val="none"/>
        </w:rPr>
        <w:t>招标人：</w:t>
      </w:r>
      <w:r>
        <w:rPr>
          <w:rFonts w:hint="eastAsia" w:ascii="宋体" w:hAnsi="宋体" w:eastAsia="宋体" w:cs="宋体"/>
          <w:b/>
          <w:snapToGrid w:val="0"/>
          <w:color w:val="auto"/>
          <w:w w:val="90"/>
          <w:kern w:val="0"/>
          <w:sz w:val="30"/>
          <w:szCs w:val="30"/>
          <w:highlight w:val="none"/>
          <w:u w:val="single"/>
        </w:rPr>
        <w:t>重庆水资源产业股份有限公司</w:t>
      </w:r>
      <w:r>
        <w:rPr>
          <w:rFonts w:hint="eastAsia" w:ascii="宋体" w:hAnsi="宋体" w:eastAsia="宋体" w:cs="宋体"/>
          <w:b/>
          <w:snapToGrid w:val="0"/>
          <w:color w:val="auto"/>
          <w:w w:val="90"/>
          <w:kern w:val="0"/>
          <w:sz w:val="30"/>
          <w:szCs w:val="30"/>
          <w:highlight w:val="none"/>
          <w:u w:val="single"/>
          <w:lang w:val="en-US" w:eastAsia="zh-CN"/>
        </w:rPr>
        <w:t xml:space="preserve">  </w:t>
      </w:r>
      <w:r>
        <w:rPr>
          <w:rFonts w:hint="eastAsia" w:ascii="宋体" w:hAnsi="宋体" w:eastAsia="宋体" w:cs="宋体"/>
          <w:b/>
          <w:snapToGrid w:val="0"/>
          <w:color w:val="auto"/>
          <w:w w:val="90"/>
          <w:kern w:val="0"/>
          <w:sz w:val="30"/>
          <w:szCs w:val="30"/>
          <w:highlight w:val="none"/>
        </w:rPr>
        <w:t>（盖单位章）</w:t>
      </w:r>
    </w:p>
    <w:p>
      <w:pPr>
        <w:tabs>
          <w:tab w:val="left" w:pos="6252"/>
        </w:tabs>
        <w:autoSpaceDE w:val="0"/>
        <w:autoSpaceDN w:val="0"/>
        <w:adjustRightInd w:val="0"/>
        <w:snapToGrid w:val="0"/>
        <w:jc w:val="center"/>
        <w:rPr>
          <w:rFonts w:ascii="宋体" w:hAnsi="宋体" w:eastAsia="宋体" w:cs="宋体"/>
          <w:b/>
          <w:snapToGrid w:val="0"/>
          <w:color w:val="auto"/>
          <w:spacing w:val="-20"/>
          <w:w w:val="99"/>
          <w:kern w:val="0"/>
          <w:sz w:val="32"/>
          <w:szCs w:val="32"/>
          <w:highlight w:val="none"/>
        </w:rPr>
      </w:pPr>
      <w:r>
        <w:rPr>
          <w:rFonts w:hint="eastAsia" w:ascii="宋体" w:hAnsi="宋体" w:eastAsia="宋体" w:cs="宋体"/>
          <w:b/>
          <w:snapToGrid w:val="0"/>
          <w:color w:val="auto"/>
          <w:spacing w:val="-20"/>
          <w:kern w:val="0"/>
          <w:sz w:val="30"/>
          <w:szCs w:val="30"/>
          <w:highlight w:val="none"/>
        </w:rPr>
        <w:t>代理机构：</w:t>
      </w:r>
      <w:r>
        <w:rPr>
          <w:rFonts w:hint="eastAsia" w:ascii="宋体" w:hAnsi="宋体" w:eastAsia="宋体" w:cs="宋体"/>
          <w:b/>
          <w:snapToGrid w:val="0"/>
          <w:color w:val="auto"/>
          <w:spacing w:val="-20"/>
          <w:kern w:val="0"/>
          <w:sz w:val="30"/>
          <w:szCs w:val="30"/>
          <w:highlight w:val="none"/>
          <w:u w:val="single"/>
        </w:rPr>
        <w:t>重庆市弘禹水利咨询有限公司</w:t>
      </w:r>
      <w:r>
        <w:rPr>
          <w:rFonts w:hint="eastAsia" w:ascii="宋体" w:hAnsi="宋体" w:eastAsia="宋体" w:cs="宋体"/>
          <w:b/>
          <w:snapToGrid w:val="0"/>
          <w:color w:val="auto"/>
          <w:spacing w:val="-20"/>
          <w:kern w:val="0"/>
          <w:sz w:val="30"/>
          <w:szCs w:val="30"/>
          <w:highlight w:val="none"/>
          <w:u w:val="single"/>
          <w:lang w:val="en-US" w:eastAsia="zh-CN"/>
        </w:rPr>
        <w:t xml:space="preserve">  </w:t>
      </w:r>
      <w:r>
        <w:rPr>
          <w:rFonts w:hint="eastAsia" w:ascii="宋体" w:hAnsi="宋体" w:eastAsia="宋体" w:cs="宋体"/>
          <w:b/>
          <w:snapToGrid w:val="0"/>
          <w:color w:val="auto"/>
          <w:spacing w:val="-20"/>
          <w:w w:val="99"/>
          <w:kern w:val="0"/>
          <w:sz w:val="30"/>
          <w:szCs w:val="30"/>
          <w:highlight w:val="none"/>
        </w:rPr>
        <w:t>（盖单位章）</w:t>
      </w:r>
    </w:p>
    <w:p>
      <w:pPr>
        <w:autoSpaceDE w:val="0"/>
        <w:autoSpaceDN w:val="0"/>
        <w:adjustRightInd w:val="0"/>
        <w:snapToGrid w:val="0"/>
        <w:rPr>
          <w:rFonts w:ascii="宋体" w:hAnsi="宋体" w:eastAsia="宋体" w:cs="宋体"/>
          <w:b/>
          <w:snapToGrid w:val="0"/>
          <w:color w:val="auto"/>
          <w:spacing w:val="-20"/>
          <w:kern w:val="0"/>
          <w:sz w:val="32"/>
          <w:szCs w:val="32"/>
          <w:highlight w:val="none"/>
        </w:rPr>
      </w:pPr>
    </w:p>
    <w:p>
      <w:pPr>
        <w:widowControl/>
        <w:jc w:val="center"/>
        <w:rPr>
          <w:rFonts w:ascii="宋体" w:hAnsi="宋体" w:eastAsia="宋体" w:cs="宋体"/>
          <w:b/>
          <w:color w:val="auto"/>
          <w:spacing w:val="8"/>
          <w:kern w:val="0"/>
          <w:sz w:val="28"/>
          <w:szCs w:val="28"/>
          <w:highlight w:val="none"/>
        </w:rPr>
      </w:pPr>
      <w:r>
        <w:rPr>
          <w:rFonts w:hint="eastAsia" w:ascii="宋体" w:hAnsi="宋体" w:eastAsia="宋体" w:cs="宋体"/>
          <w:b/>
          <w:color w:val="auto"/>
          <w:spacing w:val="8"/>
          <w:kern w:val="0"/>
          <w:sz w:val="32"/>
          <w:szCs w:val="32"/>
          <w:highlight w:val="none"/>
        </w:rPr>
        <w:t>二〇二</w:t>
      </w:r>
      <w:r>
        <w:rPr>
          <w:rFonts w:hint="eastAsia" w:ascii="宋体" w:hAnsi="宋体" w:eastAsia="宋体" w:cs="宋体"/>
          <w:b/>
          <w:color w:val="auto"/>
          <w:spacing w:val="8"/>
          <w:kern w:val="0"/>
          <w:sz w:val="32"/>
          <w:szCs w:val="32"/>
          <w:highlight w:val="none"/>
          <w:lang w:val="en-US" w:eastAsia="zh-CN"/>
        </w:rPr>
        <w:t>三</w:t>
      </w:r>
      <w:r>
        <w:rPr>
          <w:rFonts w:hint="eastAsia" w:ascii="宋体" w:hAnsi="宋体" w:eastAsia="宋体" w:cs="宋体"/>
          <w:b/>
          <w:color w:val="auto"/>
          <w:spacing w:val="8"/>
          <w:kern w:val="0"/>
          <w:sz w:val="32"/>
          <w:szCs w:val="32"/>
          <w:highlight w:val="none"/>
        </w:rPr>
        <w:t>年</w:t>
      </w:r>
      <w:r>
        <w:rPr>
          <w:rFonts w:hint="eastAsia" w:ascii="宋体" w:hAnsi="宋体" w:eastAsia="宋体" w:cs="宋体"/>
          <w:b/>
          <w:color w:val="auto"/>
          <w:spacing w:val="8"/>
          <w:kern w:val="0"/>
          <w:sz w:val="32"/>
          <w:szCs w:val="32"/>
          <w:highlight w:val="none"/>
          <w:lang w:val="en-US" w:eastAsia="zh-CN"/>
        </w:rPr>
        <w:t>八</w:t>
      </w:r>
      <w:r>
        <w:rPr>
          <w:rFonts w:hint="eastAsia" w:ascii="宋体" w:hAnsi="宋体" w:eastAsia="宋体" w:cs="宋体"/>
          <w:b/>
          <w:color w:val="auto"/>
          <w:spacing w:val="8"/>
          <w:kern w:val="0"/>
          <w:sz w:val="32"/>
          <w:szCs w:val="32"/>
          <w:highlight w:val="none"/>
        </w:rPr>
        <w:t>月</w:t>
      </w:r>
    </w:p>
    <w:p>
      <w:pPr>
        <w:tabs>
          <w:tab w:val="left" w:pos="3200"/>
          <w:tab w:val="left" w:pos="4320"/>
          <w:tab w:val="left" w:pos="5420"/>
        </w:tabs>
        <w:autoSpaceDE w:val="0"/>
        <w:autoSpaceDN w:val="0"/>
        <w:adjustRightInd w:val="0"/>
        <w:snapToGrid w:val="0"/>
        <w:rPr>
          <w:rFonts w:ascii="宋体" w:hAnsi="宋体" w:eastAsia="宋体" w:cs="宋体"/>
          <w:b/>
          <w:snapToGrid w:val="0"/>
          <w:color w:val="auto"/>
          <w:kern w:val="0"/>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7" w:h="16839"/>
          <w:pgMar w:top="1480" w:right="1680" w:bottom="993" w:left="1680" w:header="720" w:footer="720" w:gutter="0"/>
          <w:pgNumType w:fmt="numberInDash"/>
          <w:cols w:space="720" w:num="1"/>
          <w:titlePg/>
          <w:docGrid w:linePitch="286" w:charSpace="0"/>
        </w:sectPr>
      </w:pPr>
    </w:p>
    <w:p>
      <w:pPr>
        <w:autoSpaceDE w:val="0"/>
        <w:autoSpaceDN w:val="0"/>
        <w:adjustRightInd w:val="0"/>
        <w:snapToGrid w:val="0"/>
        <w:jc w:val="center"/>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目　　录</w:t>
      </w:r>
    </w:p>
    <w:p>
      <w:pPr>
        <w:spacing w:line="240" w:lineRule="auto"/>
        <w:jc w:val="center"/>
        <w:rPr>
          <w:rFonts w:ascii="宋体" w:hAnsi="宋体" w:eastAsia="宋体"/>
          <w:color w:val="auto"/>
          <w:highlight w:val="none"/>
        </w:rPr>
      </w:pPr>
      <w:bookmarkStart w:id="0" w:name="_Toc18061_WPSOffice_Type3"/>
    </w:p>
    <w:p>
      <w:pPr>
        <w:pStyle w:val="154"/>
        <w:tabs>
          <w:tab w:val="right" w:leader="dot" w:pos="9071"/>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_Toc20071_WPSOffice_Level1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第一章 招标公告</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fldChar w:fldCharType="end"/>
      </w:r>
    </w:p>
    <w:p>
      <w:pPr>
        <w:pStyle w:val="142"/>
        <w:tabs>
          <w:tab w:val="right" w:leader="dot" w:pos="9071"/>
        </w:tabs>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_Toc6091_WPSOffice_Level3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1. 招标条件</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fldChar w:fldCharType="end"/>
      </w:r>
    </w:p>
    <w:p>
      <w:pPr>
        <w:pStyle w:val="142"/>
        <w:tabs>
          <w:tab w:val="right" w:leader="dot" w:pos="9071"/>
        </w:tabs>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_Toc19778_WPSOffice_Level3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2. 项目概况与招标范围</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fldChar w:fldCharType="end"/>
      </w:r>
    </w:p>
    <w:p>
      <w:pPr>
        <w:pStyle w:val="142"/>
        <w:tabs>
          <w:tab w:val="right" w:leader="dot" w:pos="9071"/>
        </w:tabs>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_Toc31676_WPSOffice_Level3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3. 投标人资格要求</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fldChar w:fldCharType="end"/>
      </w:r>
    </w:p>
    <w:p>
      <w:pPr>
        <w:pStyle w:val="142"/>
        <w:tabs>
          <w:tab w:val="right" w:leader="dot" w:pos="9071"/>
        </w:tabs>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_Toc25693_WPSOffice_Level3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4．招标文件的获取</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fldChar w:fldCharType="end"/>
      </w:r>
    </w:p>
    <w:p>
      <w:pPr>
        <w:pStyle w:val="142"/>
        <w:tabs>
          <w:tab w:val="right" w:leader="dot" w:pos="9071"/>
        </w:tabs>
        <w:spacing w:line="360" w:lineRule="auto"/>
        <w:ind w:left="0" w:leftChars="0"/>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_Toc27709_WPSOffice_Level3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b/>
          <w:bCs/>
          <w:color w:val="auto"/>
          <w:kern w:val="44"/>
          <w:sz w:val="21"/>
          <w:szCs w:val="21"/>
          <w:highlight w:val="none"/>
        </w:rPr>
        <w:t xml:space="preserve">    </w:t>
      </w:r>
      <w:r>
        <w:rPr>
          <w:rFonts w:hint="eastAsia" w:ascii="宋体" w:hAnsi="宋体" w:cs="宋体"/>
          <w:color w:val="auto"/>
          <w:sz w:val="21"/>
          <w:szCs w:val="21"/>
          <w:highlight w:val="none"/>
        </w:rPr>
        <w:t>5．投标截止时间和开标时间及开标地点</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fldChar w:fldCharType="end"/>
      </w:r>
    </w:p>
    <w:p>
      <w:pPr>
        <w:pStyle w:val="142"/>
        <w:tabs>
          <w:tab w:val="right" w:leader="dot" w:pos="9071"/>
        </w:tabs>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_Toc30081_WPSOffice_Level3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6．发布公告的媒介</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fldChar w:fldCharType="end"/>
      </w:r>
    </w:p>
    <w:p>
      <w:pPr>
        <w:pStyle w:val="142"/>
        <w:tabs>
          <w:tab w:val="right" w:leader="dot" w:pos="9071"/>
        </w:tabs>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_Toc1144_WPSOffice_Level3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7. 联系方式</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fldChar w:fldCharType="end"/>
      </w:r>
    </w:p>
    <w:p>
      <w:pPr>
        <w:pStyle w:val="154"/>
        <w:tabs>
          <w:tab w:val="right" w:leader="dot" w:pos="9071"/>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_Toc18061_WPSOffice_Level1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第二章 投标人须知</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fldChar w:fldCharType="end"/>
      </w:r>
    </w:p>
    <w:p>
      <w:pPr>
        <w:pStyle w:val="111"/>
        <w:tabs>
          <w:tab w:val="right" w:leader="dot" w:pos="9071"/>
        </w:tabs>
        <w:spacing w:line="360" w:lineRule="auto"/>
        <w:ind w:left="48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_Toc6091_WPSOffice_Level2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1　总则</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2</w:t>
      </w:r>
    </w:p>
    <w:p>
      <w:pPr>
        <w:pStyle w:val="111"/>
        <w:tabs>
          <w:tab w:val="right" w:leader="dot" w:pos="9071"/>
        </w:tabs>
        <w:spacing w:line="360" w:lineRule="auto"/>
        <w:ind w:left="480"/>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_Toc19778_WPSOffice_Level2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2　招标文件</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bookmarkStart w:id="1" w:name="_Toc19778_WPSOffice_Level2Page"/>
      <w:r>
        <w:rPr>
          <w:rFonts w:hint="eastAsia" w:ascii="宋体" w:hAnsi="宋体" w:cs="宋体"/>
          <w:color w:val="auto"/>
          <w:sz w:val="21"/>
          <w:szCs w:val="21"/>
          <w:highlight w:val="none"/>
        </w:rPr>
        <w:t>19</w:t>
      </w:r>
      <w:bookmarkEnd w:id="1"/>
      <w:r>
        <w:rPr>
          <w:rFonts w:hint="eastAsia" w:ascii="宋体" w:hAnsi="宋体" w:cs="宋体"/>
          <w:color w:val="auto"/>
          <w:sz w:val="21"/>
          <w:szCs w:val="21"/>
          <w:highlight w:val="none"/>
        </w:rPr>
        <w:fldChar w:fldCharType="end"/>
      </w:r>
    </w:p>
    <w:p>
      <w:pPr>
        <w:pStyle w:val="111"/>
        <w:tabs>
          <w:tab w:val="right" w:leader="dot" w:pos="9071"/>
        </w:tabs>
        <w:spacing w:line="360" w:lineRule="auto"/>
        <w:ind w:left="480"/>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_Toc31676_WPSOffice_Level2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3　投标文件</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bookmarkStart w:id="2" w:name="_Toc31676_WPSOffice_Level2Page"/>
      <w:r>
        <w:rPr>
          <w:rFonts w:hint="eastAsia" w:ascii="宋体" w:hAnsi="宋体" w:cs="宋体"/>
          <w:color w:val="auto"/>
          <w:sz w:val="21"/>
          <w:szCs w:val="21"/>
          <w:highlight w:val="none"/>
        </w:rPr>
        <w:t>21</w:t>
      </w:r>
      <w:bookmarkEnd w:id="2"/>
      <w:r>
        <w:rPr>
          <w:rFonts w:hint="eastAsia" w:ascii="宋体" w:hAnsi="宋体" w:cs="宋体"/>
          <w:color w:val="auto"/>
          <w:sz w:val="21"/>
          <w:szCs w:val="21"/>
          <w:highlight w:val="none"/>
        </w:rPr>
        <w:fldChar w:fldCharType="end"/>
      </w:r>
    </w:p>
    <w:p>
      <w:pPr>
        <w:pStyle w:val="111"/>
        <w:tabs>
          <w:tab w:val="right" w:leader="dot" w:pos="9071"/>
        </w:tabs>
        <w:spacing w:line="360" w:lineRule="auto"/>
        <w:ind w:left="480"/>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_Toc25693_WPSOffice_Level2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4　投标</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bookmarkStart w:id="3" w:name="_Toc25693_WPSOffice_Level2Page"/>
      <w:r>
        <w:rPr>
          <w:rFonts w:hint="eastAsia" w:ascii="宋体" w:hAnsi="宋体" w:cs="宋体"/>
          <w:color w:val="auto"/>
          <w:sz w:val="21"/>
          <w:szCs w:val="21"/>
          <w:highlight w:val="none"/>
        </w:rPr>
        <w:t>22</w:t>
      </w:r>
      <w:bookmarkEnd w:id="3"/>
      <w:r>
        <w:rPr>
          <w:rFonts w:hint="eastAsia" w:ascii="宋体" w:hAnsi="宋体" w:cs="宋体"/>
          <w:color w:val="auto"/>
          <w:sz w:val="21"/>
          <w:szCs w:val="21"/>
          <w:highlight w:val="none"/>
        </w:rPr>
        <w:fldChar w:fldCharType="end"/>
      </w:r>
    </w:p>
    <w:p>
      <w:pPr>
        <w:pStyle w:val="111"/>
        <w:tabs>
          <w:tab w:val="right" w:leader="dot" w:pos="9071"/>
        </w:tabs>
        <w:spacing w:line="360" w:lineRule="auto"/>
        <w:ind w:left="480"/>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_Toc27709_WPSOffice_Level2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5　开标</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bookmarkStart w:id="4" w:name="_Toc27709_WPSOffice_Level2Page"/>
      <w:r>
        <w:rPr>
          <w:rFonts w:hint="eastAsia" w:ascii="宋体" w:hAnsi="宋体" w:cs="宋体"/>
          <w:color w:val="auto"/>
          <w:sz w:val="21"/>
          <w:szCs w:val="21"/>
          <w:highlight w:val="none"/>
        </w:rPr>
        <w:t>23</w:t>
      </w:r>
      <w:bookmarkEnd w:id="4"/>
      <w:r>
        <w:rPr>
          <w:rFonts w:hint="eastAsia" w:ascii="宋体" w:hAnsi="宋体" w:cs="宋体"/>
          <w:color w:val="auto"/>
          <w:sz w:val="21"/>
          <w:szCs w:val="21"/>
          <w:highlight w:val="none"/>
        </w:rPr>
        <w:fldChar w:fldCharType="end"/>
      </w:r>
    </w:p>
    <w:p>
      <w:pPr>
        <w:pStyle w:val="111"/>
        <w:tabs>
          <w:tab w:val="right" w:leader="dot" w:pos="9071"/>
        </w:tabs>
        <w:spacing w:line="360" w:lineRule="auto"/>
        <w:ind w:left="480"/>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_Toc30081_WPSOffice_Level2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6　评标</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bookmarkStart w:id="5" w:name="_Toc30081_WPSOffice_Level2Page"/>
      <w:r>
        <w:rPr>
          <w:rFonts w:hint="eastAsia" w:ascii="宋体" w:hAnsi="宋体" w:cs="宋体"/>
          <w:color w:val="auto"/>
          <w:sz w:val="21"/>
          <w:szCs w:val="21"/>
          <w:highlight w:val="none"/>
        </w:rPr>
        <w:t>23</w:t>
      </w:r>
      <w:bookmarkEnd w:id="5"/>
      <w:r>
        <w:rPr>
          <w:rFonts w:hint="eastAsia" w:ascii="宋体" w:hAnsi="宋体" w:cs="宋体"/>
          <w:color w:val="auto"/>
          <w:sz w:val="21"/>
          <w:szCs w:val="21"/>
          <w:highlight w:val="none"/>
        </w:rPr>
        <w:fldChar w:fldCharType="end"/>
      </w:r>
    </w:p>
    <w:p>
      <w:pPr>
        <w:pStyle w:val="111"/>
        <w:tabs>
          <w:tab w:val="right" w:leader="dot" w:pos="9071"/>
        </w:tabs>
        <w:spacing w:line="360" w:lineRule="auto"/>
        <w:ind w:left="480"/>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_Toc1144_WPSOffice_Level2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7　合同授予</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bookmarkStart w:id="6" w:name="_Toc1144_WPSOffice_Level2Page"/>
      <w:r>
        <w:rPr>
          <w:rFonts w:hint="eastAsia" w:ascii="宋体" w:hAnsi="宋体" w:cs="宋体"/>
          <w:color w:val="auto"/>
          <w:sz w:val="21"/>
          <w:szCs w:val="21"/>
          <w:highlight w:val="none"/>
        </w:rPr>
        <w:t>24</w:t>
      </w:r>
      <w:bookmarkEnd w:id="6"/>
      <w:r>
        <w:rPr>
          <w:rFonts w:hint="eastAsia" w:ascii="宋体" w:hAnsi="宋体" w:cs="宋体"/>
          <w:color w:val="auto"/>
          <w:sz w:val="21"/>
          <w:szCs w:val="21"/>
          <w:highlight w:val="none"/>
        </w:rPr>
        <w:fldChar w:fldCharType="end"/>
      </w:r>
    </w:p>
    <w:p>
      <w:pPr>
        <w:pStyle w:val="111"/>
        <w:tabs>
          <w:tab w:val="right" w:leader="dot" w:pos="9071"/>
        </w:tabs>
        <w:spacing w:line="360" w:lineRule="auto"/>
        <w:ind w:left="480"/>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_Toc28412_WPSOffice_Level2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8　重新招标和不再招标</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bookmarkStart w:id="7" w:name="_Toc28412_WPSOffice_Level2Page"/>
      <w:r>
        <w:rPr>
          <w:rFonts w:hint="eastAsia" w:ascii="宋体" w:hAnsi="宋体" w:cs="宋体"/>
          <w:color w:val="auto"/>
          <w:sz w:val="21"/>
          <w:szCs w:val="21"/>
          <w:highlight w:val="none"/>
        </w:rPr>
        <w:t>24</w:t>
      </w:r>
      <w:bookmarkEnd w:id="7"/>
      <w:r>
        <w:rPr>
          <w:rFonts w:hint="eastAsia" w:ascii="宋体" w:hAnsi="宋体" w:cs="宋体"/>
          <w:color w:val="auto"/>
          <w:sz w:val="21"/>
          <w:szCs w:val="21"/>
          <w:highlight w:val="none"/>
        </w:rPr>
        <w:fldChar w:fldCharType="end"/>
      </w:r>
    </w:p>
    <w:p>
      <w:pPr>
        <w:pStyle w:val="111"/>
        <w:tabs>
          <w:tab w:val="right" w:leader="dot" w:pos="9071"/>
        </w:tabs>
        <w:spacing w:line="360" w:lineRule="auto"/>
        <w:ind w:left="480"/>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_Toc25126_WPSOffice_Level2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9　纪律和监督</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bookmarkStart w:id="8" w:name="_Toc25126_WPSOffice_Level2Page"/>
      <w:r>
        <w:rPr>
          <w:rFonts w:hint="eastAsia" w:ascii="宋体" w:hAnsi="宋体" w:cs="宋体"/>
          <w:color w:val="auto"/>
          <w:sz w:val="21"/>
          <w:szCs w:val="21"/>
          <w:highlight w:val="none"/>
        </w:rPr>
        <w:t>25</w:t>
      </w:r>
      <w:bookmarkEnd w:id="8"/>
      <w:r>
        <w:rPr>
          <w:rFonts w:hint="eastAsia" w:ascii="宋体" w:hAnsi="宋体" w:cs="宋体"/>
          <w:color w:val="auto"/>
          <w:sz w:val="21"/>
          <w:szCs w:val="21"/>
          <w:highlight w:val="none"/>
        </w:rPr>
        <w:fldChar w:fldCharType="end"/>
      </w:r>
    </w:p>
    <w:p>
      <w:pPr>
        <w:pStyle w:val="111"/>
        <w:tabs>
          <w:tab w:val="right" w:leader="dot" w:pos="9071"/>
        </w:tabs>
        <w:spacing w:line="360" w:lineRule="auto"/>
        <w:ind w:left="480"/>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_Toc17853_WPSOffice_Level2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10　需要补充的其它内容</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bookmarkStart w:id="9" w:name="_Toc17853_WPSOffice_Level2Page"/>
      <w:r>
        <w:rPr>
          <w:rFonts w:hint="eastAsia" w:ascii="宋体" w:hAnsi="宋体" w:cs="宋体"/>
          <w:color w:val="auto"/>
          <w:sz w:val="21"/>
          <w:szCs w:val="21"/>
          <w:highlight w:val="none"/>
        </w:rPr>
        <w:t>26</w:t>
      </w:r>
      <w:bookmarkEnd w:id="9"/>
      <w:r>
        <w:rPr>
          <w:rFonts w:hint="eastAsia" w:ascii="宋体" w:hAnsi="宋体" w:cs="宋体"/>
          <w:color w:val="auto"/>
          <w:sz w:val="21"/>
          <w:szCs w:val="21"/>
          <w:highlight w:val="none"/>
        </w:rPr>
        <w:fldChar w:fldCharType="end"/>
      </w:r>
    </w:p>
    <w:p>
      <w:pPr>
        <w:pStyle w:val="154"/>
        <w:tabs>
          <w:tab w:val="right" w:leader="dot" w:pos="9071"/>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_Toc6091_WPSOffice_Level1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第三章 评标办法（综合评标法）</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bookmarkStart w:id="10" w:name="_Toc6091_WPSOffice_Level1Page"/>
      <w:r>
        <w:rPr>
          <w:rFonts w:hint="eastAsia" w:ascii="宋体" w:hAnsi="宋体" w:cs="宋体"/>
          <w:color w:val="auto"/>
          <w:sz w:val="21"/>
          <w:szCs w:val="21"/>
          <w:highlight w:val="none"/>
        </w:rPr>
        <w:t>2</w:t>
      </w:r>
      <w:bookmarkEnd w:id="10"/>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fldChar w:fldCharType="end"/>
      </w:r>
    </w:p>
    <w:p>
      <w:pPr>
        <w:pStyle w:val="111"/>
        <w:tabs>
          <w:tab w:val="right" w:leader="dot" w:pos="9071"/>
        </w:tabs>
        <w:spacing w:line="360" w:lineRule="auto"/>
        <w:ind w:left="48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_Toc9256_WPSOffice_Level2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1.  评标方法</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6</w:t>
      </w:r>
    </w:p>
    <w:p>
      <w:pPr>
        <w:pStyle w:val="111"/>
        <w:tabs>
          <w:tab w:val="right" w:leader="dot" w:pos="9071"/>
        </w:tabs>
        <w:spacing w:line="360" w:lineRule="auto"/>
        <w:ind w:left="48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_Toc27654_WPSOffice_Level2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2.  评审标准</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6</w:t>
      </w:r>
    </w:p>
    <w:p>
      <w:pPr>
        <w:pStyle w:val="111"/>
        <w:tabs>
          <w:tab w:val="right" w:leader="dot" w:pos="9071"/>
        </w:tabs>
        <w:spacing w:line="360" w:lineRule="auto"/>
        <w:ind w:left="48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_Toc12028_WPSOffice_Level2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3.  评标程序</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6</w:t>
      </w:r>
    </w:p>
    <w:p>
      <w:pPr>
        <w:pStyle w:val="154"/>
        <w:tabs>
          <w:tab w:val="right" w:leader="dot" w:pos="9071"/>
        </w:tabs>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_Toc19778_WPSOffice_Level1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rPr>
        <w:t>第四章 合同条款及格式</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9</w:t>
      </w:r>
    </w:p>
    <w:p>
      <w:pPr>
        <w:pStyle w:val="154"/>
        <w:tabs>
          <w:tab w:val="right" w:leader="dot" w:pos="9071"/>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_Toc25693_WPSOffice_Level1 </w:instrText>
      </w:r>
      <w:r>
        <w:rPr>
          <w:rFonts w:hint="eastAsia" w:ascii="宋体" w:hAnsi="宋体" w:cs="宋体"/>
          <w:color w:val="auto"/>
          <w:sz w:val="21"/>
          <w:szCs w:val="21"/>
          <w:highlight w:val="none"/>
        </w:rPr>
        <w:fldChar w:fldCharType="separate"/>
      </w:r>
      <w:r>
        <w:rPr>
          <w:rFonts w:hint="eastAsia" w:ascii="宋体" w:hAnsi="宋体" w:cs="宋体"/>
          <w:b/>
          <w:bCs/>
          <w:vanish/>
          <w:color w:val="auto"/>
          <w:kern w:val="44"/>
          <w:sz w:val="21"/>
          <w:szCs w:val="21"/>
          <w:highlight w:val="none"/>
        </w:rPr>
        <w:t>&lt;</w:t>
      </w:r>
      <w:r>
        <w:rPr>
          <w:rFonts w:hint="eastAsia" w:ascii="宋体" w:hAnsi="宋体" w:cs="宋体"/>
          <w:color w:val="auto"/>
          <w:sz w:val="21"/>
          <w:szCs w:val="21"/>
          <w:highlight w:val="none"/>
          <w:lang w:eastAsia="zh-CN"/>
        </w:rPr>
        <w:t>第五章</w:t>
      </w:r>
      <w:r>
        <w:rPr>
          <w:rFonts w:hint="eastAsia" w:ascii="宋体" w:hAnsi="宋体" w:cs="宋体"/>
          <w:color w:val="auto"/>
          <w:sz w:val="21"/>
          <w:szCs w:val="21"/>
          <w:highlight w:val="none"/>
        </w:rPr>
        <w:t xml:space="preserve"> 投标文件格式</w:t>
      </w:r>
      <w:r>
        <w:rPr>
          <w:rFonts w:hint="eastAsia" w:ascii="宋体" w:hAnsi="宋体" w:cs="宋体"/>
          <w:b/>
          <w:bCs/>
          <w:vanish/>
          <w:color w:val="auto"/>
          <w:kern w:val="44"/>
          <w:sz w:val="21"/>
          <w:szCs w:val="21"/>
          <w:highlight w:val="none"/>
        </w:rPr>
        <w:t>&gt;</w:t>
      </w:r>
      <w:r>
        <w:rPr>
          <w:rFonts w:hint="eastAsia" w:ascii="宋体" w:hAnsi="宋体" w:cs="宋体"/>
          <w:color w:val="auto"/>
          <w:sz w:val="21"/>
          <w:szCs w:val="21"/>
          <w:highlight w:val="none"/>
        </w:rPr>
        <w:tab/>
      </w:r>
      <w:bookmarkStart w:id="11" w:name="_Toc25693_WPSOffice_Level1Page"/>
      <w:r>
        <w:rPr>
          <w:rFonts w:hint="eastAsia" w:ascii="宋体" w:hAnsi="宋体" w:cs="宋体"/>
          <w:color w:val="auto"/>
          <w:sz w:val="21"/>
          <w:szCs w:val="21"/>
          <w:highlight w:val="none"/>
        </w:rPr>
        <w:t>5</w:t>
      </w:r>
      <w:bookmarkEnd w:id="11"/>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fldChar w:fldCharType="end"/>
      </w:r>
    </w:p>
    <w:p>
      <w:pPr>
        <w:pStyle w:val="111"/>
        <w:tabs>
          <w:tab w:val="right" w:leader="dot" w:pos="9071"/>
        </w:tabs>
        <w:spacing w:line="360" w:lineRule="auto"/>
        <w:ind w:left="480"/>
        <w:rPr>
          <w:rFonts w:ascii="宋体" w:hAnsi="宋体" w:cs="宋体"/>
          <w:color w:val="auto"/>
          <w:sz w:val="24"/>
          <w:szCs w:val="24"/>
          <w:highlight w:val="none"/>
        </w:rPr>
      </w:pPr>
    </w:p>
    <w:bookmarkEnd w:id="0"/>
    <w:p>
      <w:pPr>
        <w:pStyle w:val="3"/>
        <w:adjustRightInd w:val="0"/>
        <w:snapToGrid w:val="0"/>
        <w:spacing w:line="288" w:lineRule="auto"/>
        <w:jc w:val="center"/>
        <w:rPr>
          <w:rFonts w:ascii="宋体" w:hAnsi="宋体" w:eastAsia="宋体" w:cs="宋体"/>
          <w:snapToGrid w:val="0"/>
          <w:color w:val="auto"/>
          <w:kern w:val="0"/>
          <w:highlight w:val="none"/>
        </w:rPr>
      </w:pPr>
      <w:bookmarkStart w:id="12" w:name="_Toc20071_WPSOffice_Level1"/>
      <w:r>
        <w:rPr>
          <w:rFonts w:ascii="宋体" w:hAnsi="宋体" w:eastAsia="宋体" w:cs="宋体"/>
          <w:snapToGrid w:val="0"/>
          <w:color w:val="auto"/>
          <w:kern w:val="0"/>
          <w:sz w:val="36"/>
          <w:szCs w:val="36"/>
          <w:highlight w:val="none"/>
        </w:rPr>
        <w:br w:type="page"/>
      </w:r>
      <w:r>
        <w:rPr>
          <w:rFonts w:hint="eastAsia" w:ascii="宋体" w:hAnsi="宋体" w:eastAsia="宋体" w:cs="宋体"/>
          <w:snapToGrid w:val="0"/>
          <w:color w:val="auto"/>
          <w:kern w:val="0"/>
          <w:sz w:val="36"/>
          <w:szCs w:val="36"/>
          <w:highlight w:val="none"/>
        </w:rPr>
        <w:t>第一章 招标公告</w:t>
      </w:r>
      <w:bookmarkEnd w:id="12"/>
    </w:p>
    <w:p>
      <w:pPr>
        <w:spacing w:line="440" w:lineRule="exact"/>
        <w:ind w:firstLine="482" w:firstLineChars="200"/>
        <w:jc w:val="center"/>
        <w:rPr>
          <w:rFonts w:hint="eastAsia" w:ascii="宋体" w:hAnsi="宋体" w:eastAsia="宋体"/>
          <w:b/>
          <w:color w:val="auto"/>
          <w:lang w:eastAsia="zh-CN"/>
        </w:rPr>
      </w:pPr>
      <w:bookmarkStart w:id="13" w:name="_Toc18061_WPSOffice_Level3"/>
      <w:bookmarkStart w:id="14" w:name="_Toc15807_WPSOffice_Level2"/>
      <w:bookmarkStart w:id="15" w:name="OLE_LINK1"/>
      <w:bookmarkStart w:id="16" w:name="OLE_LINK2"/>
      <w:bookmarkStart w:id="17" w:name="_Toc342252417"/>
      <w:bookmarkStart w:id="18" w:name="_Toc224103315"/>
      <w:bookmarkStart w:id="19" w:name="_Toc342252601"/>
      <w:bookmarkStart w:id="20" w:name="_Toc287607744"/>
      <w:r>
        <w:rPr>
          <w:rFonts w:hint="eastAsia" w:ascii="宋体" w:hAnsi="宋体" w:eastAsia="宋体"/>
          <w:b/>
          <w:color w:val="auto"/>
          <w:lang w:eastAsia="zh-CN"/>
        </w:rPr>
        <w:t>重庆水资源产业股份有限公司供水客服话务中心服务外包项目</w:t>
      </w:r>
    </w:p>
    <w:p>
      <w:pPr>
        <w:spacing w:line="440" w:lineRule="exact"/>
        <w:ind w:firstLine="482" w:firstLineChars="200"/>
        <w:jc w:val="center"/>
        <w:rPr>
          <w:rFonts w:ascii="宋体" w:hAnsi="宋体" w:eastAsia="宋体"/>
          <w:b/>
          <w:color w:val="auto"/>
          <w:highlight w:val="none"/>
        </w:rPr>
      </w:pPr>
      <w:r>
        <w:rPr>
          <w:rFonts w:hint="eastAsia" w:ascii="宋体" w:hAnsi="宋体" w:eastAsia="宋体"/>
          <w:b/>
          <w:color w:val="auto"/>
          <w:highlight w:val="none"/>
        </w:rPr>
        <w:t>招标公告</w:t>
      </w:r>
      <w:bookmarkEnd w:id="13"/>
      <w:bookmarkEnd w:id="14"/>
      <w:r>
        <w:rPr>
          <w:rFonts w:hint="eastAsia" w:ascii="宋体" w:hAnsi="宋体" w:eastAsia="宋体"/>
          <w:b/>
          <w:color w:val="auto"/>
          <w:highlight w:val="none"/>
        </w:rPr>
        <w:t xml:space="preserve"> </w:t>
      </w:r>
    </w:p>
    <w:p>
      <w:pPr>
        <w:spacing w:line="440" w:lineRule="exact"/>
        <w:ind w:firstLine="482" w:firstLineChars="200"/>
        <w:jc w:val="center"/>
        <w:rPr>
          <w:rFonts w:hint="default" w:ascii="宋体" w:hAnsi="宋体" w:eastAsia="宋体"/>
          <w:b/>
          <w:color w:val="auto"/>
          <w:sz w:val="21"/>
          <w:szCs w:val="21"/>
          <w:highlight w:val="none"/>
          <w:lang w:val="en-US" w:eastAsia="zh-CN"/>
        </w:rPr>
      </w:pPr>
      <w:bookmarkStart w:id="21" w:name="_Hlk84667595"/>
      <w:r>
        <w:rPr>
          <w:rFonts w:hint="eastAsia" w:ascii="宋体" w:hAnsi="宋体" w:eastAsia="宋体"/>
          <w:b/>
          <w:color w:val="auto"/>
          <w:highlight w:val="none"/>
        </w:rPr>
        <w:t>招标编号：H</w:t>
      </w:r>
      <w:r>
        <w:rPr>
          <w:rFonts w:ascii="宋体" w:hAnsi="宋体" w:eastAsia="宋体"/>
          <w:b/>
          <w:color w:val="auto"/>
          <w:highlight w:val="none"/>
        </w:rPr>
        <w:t>YZB202</w:t>
      </w:r>
      <w:r>
        <w:rPr>
          <w:rFonts w:hint="eastAsia" w:ascii="宋体" w:hAnsi="宋体" w:eastAsia="宋体"/>
          <w:b/>
          <w:color w:val="auto"/>
          <w:highlight w:val="none"/>
          <w:lang w:val="en-US" w:eastAsia="zh-CN"/>
        </w:rPr>
        <w:t>3</w:t>
      </w:r>
      <w:r>
        <w:rPr>
          <w:rFonts w:hint="eastAsia" w:ascii="宋体" w:hAnsi="宋体" w:eastAsia="宋体"/>
          <w:b/>
          <w:color w:val="auto"/>
          <w:highlight w:val="none"/>
        </w:rPr>
        <w:t>-</w:t>
      </w:r>
      <w:bookmarkEnd w:id="21"/>
      <w:r>
        <w:rPr>
          <w:rFonts w:hint="eastAsia" w:ascii="宋体" w:hAnsi="宋体" w:eastAsia="宋体"/>
          <w:b/>
          <w:color w:val="auto"/>
          <w:highlight w:val="none"/>
          <w:lang w:val="en-US" w:eastAsia="zh-CN"/>
        </w:rPr>
        <w:t>412</w:t>
      </w:r>
    </w:p>
    <w:p>
      <w:pPr>
        <w:pStyle w:val="5"/>
        <w:spacing w:line="440" w:lineRule="exact"/>
        <w:jc w:val="both"/>
        <w:rPr>
          <w:rFonts w:ascii="宋体" w:hAnsi="宋体" w:eastAsia="宋体"/>
          <w:color w:val="auto"/>
          <w:sz w:val="24"/>
          <w:highlight w:val="none"/>
        </w:rPr>
      </w:pPr>
      <w:bookmarkStart w:id="22" w:name="_Toc200359427"/>
      <w:bookmarkStart w:id="23" w:name="_Toc287607728"/>
      <w:bookmarkStart w:id="24" w:name="_Toc4873"/>
      <w:bookmarkStart w:id="25" w:name="_Toc331629568"/>
      <w:bookmarkStart w:id="26" w:name="_Toc516620588"/>
      <w:bookmarkStart w:id="27" w:name="_Toc6091_WPSOffice_Level3"/>
      <w:bookmarkStart w:id="28" w:name="_Toc200359238"/>
      <w:bookmarkStart w:id="29" w:name="_Toc277082536"/>
      <w:bookmarkStart w:id="30" w:name="_Toc224103299"/>
      <w:r>
        <w:rPr>
          <w:rFonts w:hint="eastAsia" w:ascii="宋体" w:hAnsi="宋体" w:eastAsia="宋体"/>
          <w:color w:val="auto"/>
          <w:sz w:val="24"/>
          <w:highlight w:val="none"/>
        </w:rPr>
        <w:t>1. 招标条件</w:t>
      </w:r>
      <w:bookmarkEnd w:id="22"/>
      <w:bookmarkEnd w:id="23"/>
      <w:bookmarkEnd w:id="24"/>
      <w:bookmarkEnd w:id="25"/>
      <w:bookmarkEnd w:id="26"/>
      <w:bookmarkEnd w:id="27"/>
      <w:bookmarkEnd w:id="28"/>
      <w:bookmarkEnd w:id="29"/>
      <w:bookmarkEnd w:id="30"/>
    </w:p>
    <w:p>
      <w:pPr>
        <w:spacing w:line="440" w:lineRule="exact"/>
        <w:ind w:firstLine="420" w:firstLineChars="200"/>
        <w:rPr>
          <w:rFonts w:ascii="宋体" w:hAnsi="宋体" w:eastAsia="宋体"/>
          <w:color w:val="auto"/>
          <w:sz w:val="21"/>
          <w:szCs w:val="21"/>
          <w:highlight w:val="none"/>
          <w:u w:val="none"/>
        </w:rPr>
      </w:pPr>
      <w:bookmarkStart w:id="31" w:name="_Toc221949923"/>
      <w:r>
        <w:rPr>
          <w:rFonts w:hint="eastAsia" w:ascii="宋体" w:hAnsi="宋体" w:eastAsia="宋体"/>
          <w:color w:val="auto"/>
          <w:sz w:val="21"/>
          <w:szCs w:val="21"/>
          <w:u w:val="none"/>
        </w:rPr>
        <w:t>本招标项目</w:t>
      </w:r>
      <w:r>
        <w:rPr>
          <w:rFonts w:hint="eastAsia" w:ascii="宋体" w:hAnsi="宋体" w:eastAsia="宋体"/>
          <w:color w:val="auto"/>
          <w:sz w:val="21"/>
          <w:szCs w:val="21"/>
          <w:u w:val="none"/>
          <w:lang w:eastAsia="zh-CN"/>
        </w:rPr>
        <w:t>重庆水资源产业股份有限公司供水客服话务中心服务外包项目</w:t>
      </w:r>
      <w:r>
        <w:rPr>
          <w:rFonts w:hint="eastAsia" w:ascii="宋体" w:hAnsi="宋体" w:eastAsia="宋体"/>
          <w:color w:val="auto"/>
          <w:sz w:val="21"/>
          <w:szCs w:val="21"/>
          <w:u w:val="none"/>
        </w:rPr>
        <w:t>已由重庆水资源产业股份有限公司批准建设，建设资金来自业主自筹，项目出资比例为100%，项目法人为重庆水资源产业股份有限公司，招标人为重庆水资源产业股份有限公司。项目已具备招标条件，现对本项目进行公开招标。</w:t>
      </w:r>
      <w:bookmarkEnd w:id="31"/>
    </w:p>
    <w:p>
      <w:pPr>
        <w:pStyle w:val="5"/>
        <w:spacing w:line="440" w:lineRule="exact"/>
        <w:jc w:val="both"/>
        <w:rPr>
          <w:rFonts w:ascii="宋体" w:hAnsi="宋体" w:eastAsia="宋体"/>
          <w:color w:val="auto"/>
          <w:sz w:val="24"/>
          <w:highlight w:val="none"/>
        </w:rPr>
      </w:pPr>
      <w:bookmarkStart w:id="32" w:name="_Toc224103300"/>
      <w:bookmarkStart w:id="33" w:name="_Toc277082537"/>
      <w:bookmarkStart w:id="34" w:name="_Toc331629569"/>
      <w:bookmarkStart w:id="35" w:name="_Toc516620589"/>
      <w:bookmarkStart w:id="36" w:name="_Toc200359239"/>
      <w:bookmarkStart w:id="37" w:name="_Toc19778_WPSOffice_Level3"/>
      <w:bookmarkStart w:id="38" w:name="_Toc287607729"/>
      <w:bookmarkStart w:id="39" w:name="_Toc3669"/>
      <w:bookmarkStart w:id="40" w:name="_Toc200359428"/>
      <w:r>
        <w:rPr>
          <w:rFonts w:hint="eastAsia" w:ascii="宋体" w:hAnsi="宋体" w:eastAsia="宋体"/>
          <w:color w:val="auto"/>
          <w:sz w:val="24"/>
          <w:highlight w:val="none"/>
        </w:rPr>
        <w:t>2. 项目概况与招标范围</w:t>
      </w:r>
      <w:bookmarkEnd w:id="32"/>
      <w:bookmarkEnd w:id="33"/>
      <w:bookmarkEnd w:id="34"/>
      <w:bookmarkEnd w:id="35"/>
      <w:bookmarkEnd w:id="36"/>
      <w:bookmarkEnd w:id="37"/>
      <w:bookmarkEnd w:id="38"/>
      <w:bookmarkEnd w:id="39"/>
      <w:bookmarkEnd w:id="40"/>
    </w:p>
    <w:p>
      <w:pPr>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2.1 建设地点：重庆</w:t>
      </w:r>
    </w:p>
    <w:p>
      <w:pPr>
        <w:spacing w:line="4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2.2 项目概况与建设规模：</w:t>
      </w:r>
    </w:p>
    <w:p>
      <w:pPr>
        <w:spacing w:line="4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lang w:val="en-US" w:eastAsia="zh-CN"/>
        </w:rPr>
        <w:t>2.2.</w:t>
      </w:r>
      <w:r>
        <w:rPr>
          <w:rFonts w:hint="eastAsia" w:ascii="宋体" w:hAnsi="宋体" w:eastAsia="宋体"/>
          <w:color w:val="auto"/>
          <w:sz w:val="21"/>
          <w:szCs w:val="21"/>
        </w:rPr>
        <w:t>1.申请96码号并提供码号运行的技术支持；</w:t>
      </w:r>
    </w:p>
    <w:p>
      <w:pPr>
        <w:spacing w:line="4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lang w:val="en-US" w:eastAsia="zh-CN"/>
        </w:rPr>
        <w:t>2.2.</w:t>
      </w:r>
      <w:r>
        <w:rPr>
          <w:rFonts w:hint="eastAsia" w:ascii="宋体" w:hAnsi="宋体" w:eastAsia="宋体"/>
          <w:color w:val="auto"/>
          <w:sz w:val="21"/>
          <w:szCs w:val="21"/>
        </w:rPr>
        <w:t>2.提供呼叫中心运行所需的软件系统、硬件及网络服务；</w:t>
      </w:r>
    </w:p>
    <w:p>
      <w:pPr>
        <w:spacing w:line="4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lang w:val="en-US" w:eastAsia="zh-CN"/>
        </w:rPr>
        <w:t>2.2.</w:t>
      </w:r>
      <w:r>
        <w:rPr>
          <w:rFonts w:hint="eastAsia" w:ascii="宋体" w:hAnsi="宋体" w:eastAsia="宋体"/>
          <w:color w:val="auto"/>
          <w:sz w:val="21"/>
          <w:szCs w:val="21"/>
        </w:rPr>
        <w:t>3.提供7*24小时且白班在岗坐席不少于3个、夜班在岗坐席至少1个的人工话务服务，提供督办工单流转过程中的工单督办、超时提醒、重难事件统筹调度、舆情预警等服务，提供数据汇总、分析服务，现场管理服务。</w:t>
      </w:r>
    </w:p>
    <w:p>
      <w:pPr>
        <w:spacing w:line="4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lang w:val="en-US" w:eastAsia="zh-CN"/>
        </w:rPr>
        <w:t>2.2.</w:t>
      </w:r>
      <w:r>
        <w:rPr>
          <w:rFonts w:hint="eastAsia" w:ascii="宋体" w:hAnsi="宋体" w:eastAsia="宋体"/>
          <w:color w:val="auto"/>
          <w:sz w:val="21"/>
          <w:szCs w:val="21"/>
        </w:rPr>
        <w:t>4.开发并开放接口，实现与所属供水公司营收系统、工单系统对接，用户可通过户号查询相关信息，相关话务工单需与我司目前在建的生产经营工单系统对接、同步。</w:t>
      </w:r>
    </w:p>
    <w:p>
      <w:pPr>
        <w:spacing w:line="440" w:lineRule="exact"/>
        <w:ind w:firstLine="420" w:firstLineChars="200"/>
        <w:rPr>
          <w:rFonts w:hint="eastAsia" w:ascii="宋体" w:hAnsi="宋体" w:eastAsia="宋体"/>
          <w:color w:val="auto"/>
          <w:sz w:val="21"/>
          <w:szCs w:val="21"/>
          <w:lang w:eastAsia="zh-CN"/>
        </w:rPr>
      </w:pPr>
      <w:r>
        <w:rPr>
          <w:rFonts w:hint="eastAsia" w:ascii="宋体" w:hAnsi="宋体" w:eastAsia="宋体"/>
          <w:color w:val="auto"/>
          <w:sz w:val="21"/>
          <w:szCs w:val="21"/>
        </w:rPr>
        <w:t>2.3 本次招标项目</w:t>
      </w:r>
      <w:r>
        <w:rPr>
          <w:rFonts w:hint="eastAsia" w:ascii="宋体" w:hAnsi="宋体" w:eastAsia="宋体"/>
          <w:color w:val="auto"/>
          <w:sz w:val="21"/>
          <w:szCs w:val="21"/>
          <w:lang w:val="en-US" w:eastAsia="zh-CN"/>
        </w:rPr>
        <w:t>服务</w:t>
      </w:r>
      <w:r>
        <w:rPr>
          <w:rFonts w:hint="eastAsia" w:ascii="宋体" w:hAnsi="宋体" w:eastAsia="宋体"/>
          <w:color w:val="auto"/>
          <w:sz w:val="21"/>
          <w:szCs w:val="21"/>
        </w:rPr>
        <w:t>费用估算金额：约268万元</w:t>
      </w:r>
      <w:r>
        <w:rPr>
          <w:rFonts w:hint="eastAsia" w:ascii="宋体" w:hAnsi="宋体" w:eastAsia="宋体"/>
          <w:color w:val="auto"/>
          <w:sz w:val="21"/>
          <w:szCs w:val="21"/>
          <w:lang w:eastAsia="zh-CN"/>
        </w:rPr>
        <w:t>。</w:t>
      </w:r>
    </w:p>
    <w:p>
      <w:pPr>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2.4 招标范围：本次供水客服话务中心BPO外包，包括但不限于申请96码号，提供7*24小时且白班在岗坐席不少于3人、夜班在岗坐席至少1人的话务服务，服务平台软件租赁，软件与营收系统、工单系统接口对接服务，坐席租赁（办公设备）服务、通讯服务（语音、短信、专线）等。</w:t>
      </w:r>
    </w:p>
    <w:p>
      <w:pPr>
        <w:spacing w:line="44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rPr>
        <w:t>2.5 服务期限：</w:t>
      </w:r>
      <w:r>
        <w:rPr>
          <w:rFonts w:hint="eastAsia" w:ascii="宋体" w:hAnsi="宋体" w:eastAsia="宋体"/>
          <w:color w:val="auto"/>
          <w:sz w:val="21"/>
          <w:szCs w:val="21"/>
          <w:lang w:val="en-US" w:eastAsia="zh-CN"/>
        </w:rPr>
        <w:t>2年</w:t>
      </w:r>
      <w:r>
        <w:rPr>
          <w:rFonts w:hint="eastAsia" w:ascii="宋体" w:hAnsi="宋体" w:eastAsia="宋体"/>
          <w:color w:val="auto"/>
          <w:sz w:val="21"/>
          <w:szCs w:val="21"/>
        </w:rPr>
        <w:t>。</w:t>
      </w:r>
    </w:p>
    <w:p>
      <w:pPr>
        <w:pStyle w:val="5"/>
        <w:spacing w:line="440" w:lineRule="exact"/>
        <w:jc w:val="both"/>
        <w:rPr>
          <w:rFonts w:ascii="宋体" w:hAnsi="宋体" w:eastAsia="宋体"/>
          <w:color w:val="auto"/>
          <w:sz w:val="24"/>
          <w:highlight w:val="none"/>
        </w:rPr>
      </w:pPr>
      <w:bookmarkStart w:id="41" w:name="_Toc287607730"/>
      <w:bookmarkStart w:id="42" w:name="_Toc200359429"/>
      <w:bookmarkStart w:id="43" w:name="_Toc31676_WPSOffice_Level3"/>
      <w:bookmarkStart w:id="44" w:name="_Toc277082538"/>
      <w:bookmarkStart w:id="45" w:name="_Toc200359240"/>
      <w:bookmarkStart w:id="46" w:name="_Toc15193"/>
      <w:bookmarkStart w:id="47" w:name="_Toc224103301"/>
      <w:bookmarkStart w:id="48" w:name="_Toc331629570"/>
      <w:bookmarkStart w:id="49" w:name="_Toc516620590"/>
      <w:r>
        <w:rPr>
          <w:rFonts w:hint="eastAsia" w:ascii="宋体" w:hAnsi="宋体" w:eastAsia="宋体"/>
          <w:color w:val="auto"/>
          <w:sz w:val="24"/>
          <w:highlight w:val="none"/>
        </w:rPr>
        <w:t>3. 投标人资格要求</w:t>
      </w:r>
      <w:bookmarkEnd w:id="41"/>
      <w:bookmarkEnd w:id="42"/>
      <w:bookmarkEnd w:id="43"/>
      <w:bookmarkEnd w:id="44"/>
      <w:bookmarkEnd w:id="45"/>
      <w:bookmarkEnd w:id="46"/>
      <w:bookmarkEnd w:id="47"/>
      <w:bookmarkEnd w:id="48"/>
      <w:bookmarkEnd w:id="49"/>
    </w:p>
    <w:p>
      <w:pPr>
        <w:spacing w:line="44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本次招标实行资格后审，投标人应满足下列对应资格条件：</w:t>
      </w:r>
    </w:p>
    <w:p>
      <w:pPr>
        <w:spacing w:line="44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3.1</w:t>
      </w:r>
      <w:r>
        <w:rPr>
          <w:rFonts w:hint="eastAsia" w:ascii="宋体" w:hAnsi="宋体" w:eastAsia="宋体"/>
          <w:color w:val="auto"/>
          <w:sz w:val="21"/>
          <w:szCs w:val="21"/>
          <w:lang w:val="en-US" w:eastAsia="zh-CN"/>
        </w:rPr>
        <w:t>投标人须具有有效的营业执照（分支机构参与投标的须具有总公司的参与本项目唯一授权函原件，总公司和分支机构不得同时参与投标，一个总公司不得授权多家分支机构参与投标）。</w:t>
      </w:r>
    </w:p>
    <w:p>
      <w:pPr>
        <w:spacing w:line="440" w:lineRule="exact"/>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olor w:val="auto"/>
          <w:sz w:val="21"/>
          <w:szCs w:val="21"/>
          <w:highlight w:val="none"/>
          <w:lang w:val="en-US" w:eastAsia="zh-CN"/>
        </w:rPr>
        <w:t>3.2 投标人于</w:t>
      </w:r>
      <w:r>
        <w:rPr>
          <w:rFonts w:hint="eastAsia" w:ascii="宋体" w:hAnsi="宋体" w:eastAsia="宋体" w:cs="Times New Roman"/>
          <w:color w:val="auto"/>
          <w:sz w:val="21"/>
          <w:szCs w:val="21"/>
          <w:highlight w:val="none"/>
          <w:lang w:val="en-US" w:eastAsia="zh-CN"/>
        </w:rPr>
        <w:t>2020年1月1日至投标截至时间止（以合同签订时间为准），至少具有1个年度服务金额不低于 100 万元话务热线外包服务项目业绩(合同中需体现人员外包服务或人员坐席数量 )。</w:t>
      </w:r>
    </w:p>
    <w:p>
      <w:pPr>
        <w:spacing w:line="44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本次招标不接受联合体投标。</w:t>
      </w:r>
    </w:p>
    <w:p>
      <w:pPr>
        <w:pStyle w:val="5"/>
        <w:spacing w:line="440" w:lineRule="exact"/>
        <w:jc w:val="both"/>
        <w:rPr>
          <w:rFonts w:ascii="宋体" w:hAnsi="宋体" w:eastAsia="宋体"/>
          <w:color w:val="auto"/>
          <w:sz w:val="24"/>
          <w:highlight w:val="none"/>
        </w:rPr>
      </w:pPr>
      <w:bookmarkStart w:id="50" w:name="_Toc25693_WPSOffice_Level3"/>
      <w:bookmarkStart w:id="51" w:name="_Toc277082542"/>
      <w:bookmarkStart w:id="52" w:name="_Toc516620594"/>
      <w:bookmarkStart w:id="53" w:name="_Toc331629574"/>
      <w:bookmarkStart w:id="54" w:name="_Toc287607734"/>
      <w:bookmarkStart w:id="55" w:name="_Toc224103305"/>
      <w:bookmarkStart w:id="56" w:name="_Toc30015"/>
      <w:r>
        <w:rPr>
          <w:rFonts w:hint="eastAsia" w:ascii="宋体" w:hAnsi="宋体" w:eastAsia="宋体"/>
          <w:color w:val="auto"/>
          <w:sz w:val="24"/>
          <w:highlight w:val="none"/>
        </w:rPr>
        <w:t>4．招标文件的获取</w:t>
      </w:r>
      <w:bookmarkEnd w:id="50"/>
    </w:p>
    <w:p>
      <w:pPr>
        <w:spacing w:line="44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4.1凡有意参加投标者， 请于20</w:t>
      </w:r>
      <w:r>
        <w:rPr>
          <w:rFonts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25</w:t>
      </w:r>
      <w:r>
        <w:rPr>
          <w:rFonts w:hint="eastAsia" w:ascii="宋体" w:hAnsi="宋体" w:eastAsia="宋体"/>
          <w:color w:val="auto"/>
          <w:sz w:val="21"/>
          <w:szCs w:val="21"/>
          <w:highlight w:val="none"/>
        </w:rPr>
        <w:t>日起登录“重庆市公共资源交易网（www.cqggzy.com）”下载</w:t>
      </w:r>
      <w:r>
        <w:rPr>
          <w:rFonts w:ascii="宋体" w:hAnsi="宋体" w:eastAsia="宋体"/>
          <w:color w:val="auto"/>
          <w:sz w:val="21"/>
          <w:szCs w:val="21"/>
          <w:highlight w:val="none"/>
        </w:rPr>
        <w:t>该项目的招标文件、答疑补遗等资料。</w:t>
      </w:r>
    </w:p>
    <w:p>
      <w:pPr>
        <w:spacing w:line="44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4.2如有疑问，请投标人须知前附表规定的时间前在重庆市公共资源交易网（www.cqggzy.com）上“项目答疑”专栏提出疑问，超过此时间规定，招标人不再受理投标疑问。</w:t>
      </w:r>
    </w:p>
    <w:p>
      <w:pPr>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4.3本招标公告开始发布至投标截止时间止，各投标人应随时关注重庆市公共资源交易网（www.cqggzy.com）上关于本招标项目相关修改或补充内容。不论投标人下载与否，招标人都视为投标人收到以上资料并全部知晓相关事宜，由此产生的一切后果由投标人自负。</w:t>
      </w:r>
    </w:p>
    <w:p>
      <w:pPr>
        <w:pStyle w:val="5"/>
        <w:spacing w:line="440" w:lineRule="exact"/>
        <w:ind w:firstLine="482" w:firstLineChars="200"/>
        <w:jc w:val="both"/>
        <w:rPr>
          <w:rFonts w:ascii="宋体" w:hAnsi="宋体" w:eastAsia="宋体"/>
          <w:color w:val="auto"/>
          <w:sz w:val="24"/>
          <w:highlight w:val="none"/>
        </w:rPr>
      </w:pPr>
      <w:bookmarkStart w:id="57" w:name="_Toc27709_WPSOffice_Level3"/>
      <w:bookmarkStart w:id="58" w:name="_Toc310950049"/>
      <w:bookmarkStart w:id="59" w:name="_Toc292211329"/>
      <w:bookmarkStart w:id="60" w:name="_Toc308164454"/>
      <w:r>
        <w:rPr>
          <w:rFonts w:hint="eastAsia" w:ascii="宋体" w:hAnsi="宋体" w:eastAsia="宋体"/>
          <w:color w:val="auto"/>
          <w:sz w:val="24"/>
          <w:highlight w:val="none"/>
        </w:rPr>
        <w:t>5．投标截止时间和开标时间及开标地点</w:t>
      </w:r>
      <w:bookmarkEnd w:id="57"/>
    </w:p>
    <w:p>
      <w:pPr>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5.1投标文件递交的时间及地点</w:t>
      </w:r>
    </w:p>
    <w:p>
      <w:pPr>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投标截止和开标时间：20</w:t>
      </w:r>
      <w:r>
        <w:rPr>
          <w:rFonts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15</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lang w:val="en-US" w:eastAsia="zh-CN"/>
        </w:rPr>
        <w:t>11</w:t>
      </w:r>
      <w:r>
        <w:rPr>
          <w:rFonts w:hint="eastAsia" w:ascii="宋体" w:hAnsi="宋体" w:eastAsia="宋体"/>
          <w:color w:val="auto"/>
          <w:sz w:val="21"/>
          <w:szCs w:val="21"/>
          <w:highlight w:val="none"/>
        </w:rPr>
        <w:t>时</w:t>
      </w:r>
      <w:r>
        <w:rPr>
          <w:rFonts w:hint="eastAsia" w:ascii="宋体" w:hAnsi="宋体" w:eastAsia="宋体"/>
          <w:color w:val="auto"/>
          <w:sz w:val="21"/>
          <w:szCs w:val="21"/>
          <w:highlight w:val="none"/>
          <w:lang w:val="en-US" w:eastAsia="zh-CN"/>
        </w:rPr>
        <w:t>00</w:t>
      </w:r>
      <w:r>
        <w:rPr>
          <w:rFonts w:hint="eastAsia" w:ascii="宋体" w:hAnsi="宋体" w:eastAsia="宋体"/>
          <w:color w:val="auto"/>
          <w:sz w:val="21"/>
          <w:szCs w:val="21"/>
          <w:highlight w:val="none"/>
        </w:rPr>
        <w:t>分。</w:t>
      </w:r>
    </w:p>
    <w:p>
      <w:pPr>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投标和开标地点：重庆市公共资源交易中心（地址：重庆市渝北区青枫北路6号渝兴广场B10栋2层，具体详见开标当天交易中心大厅电子显示屏）。</w:t>
      </w:r>
    </w:p>
    <w:p>
      <w:pPr>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5.2逾期送达的或者未送达指定地点的投标文件，招标人不予受理。</w:t>
      </w:r>
    </w:p>
    <w:p>
      <w:pPr>
        <w:pStyle w:val="5"/>
        <w:spacing w:line="440" w:lineRule="exact"/>
        <w:jc w:val="both"/>
        <w:rPr>
          <w:rFonts w:ascii="宋体" w:hAnsi="宋体" w:eastAsia="宋体"/>
          <w:color w:val="auto"/>
          <w:sz w:val="24"/>
          <w:highlight w:val="none"/>
        </w:rPr>
      </w:pPr>
      <w:bookmarkStart w:id="61" w:name="_Toc30081_WPSOffice_Level3"/>
      <w:r>
        <w:rPr>
          <w:rFonts w:hint="eastAsia" w:ascii="宋体" w:hAnsi="宋体" w:eastAsia="宋体"/>
          <w:color w:val="auto"/>
          <w:sz w:val="24"/>
          <w:highlight w:val="none"/>
        </w:rPr>
        <w:t>6．发布公告的媒介</w:t>
      </w:r>
      <w:bookmarkEnd w:id="58"/>
      <w:bookmarkEnd w:id="59"/>
      <w:bookmarkEnd w:id="60"/>
      <w:bookmarkEnd w:id="61"/>
    </w:p>
    <w:p>
      <w:pPr>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本次招标公告同时在重庆市公共资源交易网上发布。</w:t>
      </w:r>
    </w:p>
    <w:p>
      <w:pPr>
        <w:pStyle w:val="5"/>
        <w:spacing w:line="440" w:lineRule="exact"/>
        <w:jc w:val="both"/>
        <w:rPr>
          <w:rFonts w:ascii="宋体" w:hAnsi="宋体" w:eastAsia="宋体"/>
          <w:color w:val="auto"/>
          <w:sz w:val="24"/>
          <w:highlight w:val="none"/>
        </w:rPr>
      </w:pPr>
      <w:bookmarkStart w:id="62" w:name="_Toc1144_WPSOffice_Level3"/>
      <w:r>
        <w:rPr>
          <w:rFonts w:hint="eastAsia" w:ascii="宋体" w:hAnsi="宋体" w:eastAsia="宋体"/>
          <w:color w:val="auto"/>
          <w:sz w:val="24"/>
          <w:highlight w:val="none"/>
        </w:rPr>
        <w:t>7. 联系方式</w:t>
      </w:r>
      <w:bookmarkEnd w:id="51"/>
      <w:bookmarkEnd w:id="52"/>
      <w:bookmarkEnd w:id="53"/>
      <w:bookmarkEnd w:id="54"/>
      <w:bookmarkEnd w:id="55"/>
      <w:bookmarkEnd w:id="56"/>
      <w:bookmarkEnd w:id="62"/>
    </w:p>
    <w:p>
      <w:pPr>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招   标   人：</w:t>
      </w:r>
      <w:r>
        <w:rPr>
          <w:rFonts w:hint="eastAsia" w:ascii="宋体" w:hAnsi="宋体" w:eastAsia="宋体"/>
          <w:color w:val="auto"/>
          <w:sz w:val="21"/>
          <w:szCs w:val="21"/>
          <w:lang w:eastAsia="zh-CN"/>
        </w:rPr>
        <w:t>重庆水资源产业股份有限公司</w:t>
      </w:r>
    </w:p>
    <w:p>
      <w:pPr>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地        址：重庆市渝北区财富大道2号</w:t>
      </w:r>
    </w:p>
    <w:p>
      <w:pPr>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联   系   人：</w:t>
      </w:r>
      <w:r>
        <w:rPr>
          <w:rFonts w:hint="eastAsia" w:ascii="宋体" w:hAnsi="宋体" w:eastAsia="宋体"/>
          <w:color w:val="auto"/>
          <w:sz w:val="21"/>
          <w:szCs w:val="21"/>
          <w:lang w:val="en-US" w:eastAsia="zh-CN"/>
        </w:rPr>
        <w:t>胡老师</w:t>
      </w:r>
      <w:r>
        <w:rPr>
          <w:rFonts w:hint="eastAsia" w:ascii="宋体" w:hAnsi="宋体" w:eastAsia="宋体"/>
          <w:color w:val="auto"/>
          <w:sz w:val="21"/>
          <w:szCs w:val="21"/>
        </w:rPr>
        <w:t xml:space="preserve">          </w:t>
      </w:r>
    </w:p>
    <w:p>
      <w:pPr>
        <w:spacing w:line="440" w:lineRule="exact"/>
        <w:ind w:firstLine="420" w:firstLineChars="200"/>
        <w:rPr>
          <w:rFonts w:hint="default" w:ascii="宋体" w:hAnsi="宋体" w:eastAsia="宋体"/>
          <w:color w:val="auto"/>
          <w:sz w:val="21"/>
          <w:szCs w:val="21"/>
          <w:lang w:val="en-US" w:eastAsia="zh-CN"/>
        </w:rPr>
      </w:pPr>
      <w:r>
        <w:rPr>
          <w:rFonts w:hint="eastAsia" w:ascii="宋体" w:hAnsi="宋体" w:eastAsia="宋体"/>
          <w:color w:val="auto"/>
          <w:sz w:val="21"/>
          <w:szCs w:val="21"/>
        </w:rPr>
        <w:t>电        话：</w:t>
      </w:r>
      <w:r>
        <w:rPr>
          <w:rFonts w:hint="eastAsia" w:ascii="宋体" w:hAnsi="宋体" w:eastAsia="宋体"/>
          <w:color w:val="auto"/>
          <w:sz w:val="21"/>
          <w:szCs w:val="21"/>
          <w:lang w:val="en-US" w:eastAsia="zh-CN"/>
        </w:rPr>
        <w:t>023-63012101</w:t>
      </w:r>
    </w:p>
    <w:p>
      <w:pPr>
        <w:spacing w:line="440" w:lineRule="exact"/>
        <w:ind w:firstLine="420" w:firstLineChars="200"/>
        <w:rPr>
          <w:rFonts w:ascii="宋体" w:hAnsi="宋体" w:eastAsia="宋体"/>
          <w:color w:val="auto"/>
          <w:sz w:val="21"/>
          <w:szCs w:val="21"/>
          <w:highlight w:val="none"/>
        </w:rPr>
      </w:pPr>
    </w:p>
    <w:p>
      <w:pPr>
        <w:spacing w:line="44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招标代理机构：重庆市弘禹水利咨询有限公司</w:t>
      </w:r>
    </w:p>
    <w:p>
      <w:pPr>
        <w:spacing w:line="44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        址：重庆市江北区兴隆路2</w:t>
      </w:r>
      <w:r>
        <w:rPr>
          <w:rFonts w:ascii="宋体" w:hAnsi="宋体" w:eastAsia="宋体"/>
          <w:color w:val="auto"/>
          <w:sz w:val="21"/>
          <w:szCs w:val="21"/>
          <w:highlight w:val="none"/>
        </w:rPr>
        <w:t>2</w:t>
      </w:r>
      <w:r>
        <w:rPr>
          <w:rFonts w:hint="eastAsia" w:ascii="宋体" w:hAnsi="宋体" w:eastAsia="宋体"/>
          <w:color w:val="auto"/>
          <w:sz w:val="21"/>
          <w:szCs w:val="21"/>
          <w:highlight w:val="none"/>
        </w:rPr>
        <w:t>号9、1</w:t>
      </w:r>
      <w:r>
        <w:rPr>
          <w:rFonts w:ascii="宋体" w:hAnsi="宋体" w:eastAsia="宋体"/>
          <w:color w:val="auto"/>
          <w:sz w:val="21"/>
          <w:szCs w:val="21"/>
          <w:highlight w:val="none"/>
        </w:rPr>
        <w:t>0</w:t>
      </w:r>
      <w:r>
        <w:rPr>
          <w:rFonts w:hint="eastAsia" w:ascii="宋体" w:hAnsi="宋体" w:eastAsia="宋体"/>
          <w:color w:val="auto"/>
          <w:sz w:val="21"/>
          <w:szCs w:val="21"/>
          <w:highlight w:val="none"/>
        </w:rPr>
        <w:t>楼</w:t>
      </w:r>
    </w:p>
    <w:p>
      <w:pPr>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   系   人：张</w:t>
      </w:r>
      <w:r>
        <w:rPr>
          <w:rFonts w:hint="eastAsia" w:ascii="宋体" w:hAnsi="宋体" w:eastAsia="宋体"/>
          <w:color w:val="auto"/>
          <w:sz w:val="21"/>
          <w:szCs w:val="21"/>
          <w:highlight w:val="none"/>
          <w:lang w:val="en-US" w:eastAsia="zh-CN"/>
        </w:rPr>
        <w:t>老师</w:t>
      </w:r>
      <w:r>
        <w:rPr>
          <w:rFonts w:hint="eastAsia" w:ascii="宋体" w:hAnsi="宋体" w:eastAsia="宋体"/>
          <w:color w:val="auto"/>
          <w:sz w:val="21"/>
          <w:szCs w:val="21"/>
          <w:highlight w:val="none"/>
        </w:rPr>
        <w:t xml:space="preserve">          </w:t>
      </w:r>
    </w:p>
    <w:p>
      <w:pPr>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电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话：023-</w:t>
      </w:r>
      <w:r>
        <w:rPr>
          <w:rFonts w:ascii="宋体" w:hAnsi="宋体" w:eastAsia="宋体"/>
          <w:color w:val="auto"/>
          <w:sz w:val="21"/>
          <w:szCs w:val="21"/>
          <w:highlight w:val="none"/>
        </w:rPr>
        <w:t>8</w:t>
      </w:r>
      <w:r>
        <w:rPr>
          <w:rFonts w:hint="eastAsia" w:ascii="宋体" w:hAnsi="宋体" w:eastAsia="宋体"/>
          <w:color w:val="auto"/>
          <w:sz w:val="21"/>
          <w:szCs w:val="21"/>
          <w:highlight w:val="none"/>
          <w:lang w:val="en-US" w:eastAsia="zh-CN"/>
        </w:rPr>
        <w:t>8731235</w:t>
      </w:r>
      <w:r>
        <w:rPr>
          <w:rFonts w:hint="eastAsia" w:ascii="宋体" w:hAnsi="宋体" w:eastAsia="宋体"/>
          <w:color w:val="auto"/>
          <w:sz w:val="21"/>
          <w:szCs w:val="21"/>
          <w:highlight w:val="none"/>
        </w:rPr>
        <w:t xml:space="preserve">   </w:t>
      </w:r>
    </w:p>
    <w:bookmarkEnd w:id="15"/>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bookmarkEnd w:id="16"/>
    <w:p>
      <w:pPr>
        <w:pStyle w:val="29"/>
        <w:rPr>
          <w:rFonts w:hint="eastAsia" w:ascii="宋体" w:hAnsi="宋体" w:eastAsia="宋体"/>
          <w:color w:val="auto"/>
          <w:highlight w:val="none"/>
        </w:rPr>
      </w:pPr>
    </w:p>
    <w:p>
      <w:pPr>
        <w:rPr>
          <w:rFonts w:hint="eastAsia" w:ascii="宋体" w:hAnsi="宋体" w:eastAsia="宋体"/>
          <w:color w:val="auto"/>
          <w:highlight w:val="none"/>
        </w:rPr>
      </w:pPr>
    </w:p>
    <w:p>
      <w:pPr>
        <w:pStyle w:val="29"/>
        <w:rPr>
          <w:rFonts w:hint="eastAsia" w:ascii="宋体" w:hAnsi="宋体" w:eastAsia="宋体"/>
          <w:color w:val="auto"/>
          <w:highlight w:val="none"/>
        </w:rPr>
      </w:pPr>
    </w:p>
    <w:p>
      <w:pPr>
        <w:rPr>
          <w:rFonts w:hint="eastAsia" w:ascii="宋体" w:hAnsi="宋体" w:eastAsia="宋体"/>
          <w:color w:val="auto"/>
          <w:highlight w:val="none"/>
        </w:rPr>
      </w:pPr>
    </w:p>
    <w:p>
      <w:pPr>
        <w:pStyle w:val="29"/>
        <w:rPr>
          <w:rFonts w:hint="eastAsia" w:ascii="宋体" w:hAnsi="宋体" w:eastAsia="宋体"/>
          <w:color w:val="auto"/>
          <w:highlight w:val="none"/>
        </w:rPr>
      </w:pPr>
    </w:p>
    <w:p>
      <w:pPr>
        <w:rPr>
          <w:rFonts w:hint="eastAsia"/>
          <w:color w:val="auto"/>
          <w:highlight w:val="none"/>
        </w:rPr>
      </w:pPr>
    </w:p>
    <w:p>
      <w:pPr>
        <w:pStyle w:val="3"/>
        <w:spacing w:line="0" w:lineRule="atLeast"/>
        <w:jc w:val="center"/>
        <w:rPr>
          <w:rFonts w:ascii="宋体" w:hAnsi="宋体" w:eastAsia="宋体" w:cs="宋体"/>
          <w:snapToGrid w:val="0"/>
          <w:color w:val="auto"/>
          <w:kern w:val="0"/>
          <w:sz w:val="36"/>
          <w:szCs w:val="36"/>
          <w:highlight w:val="none"/>
        </w:rPr>
      </w:pPr>
      <w:bookmarkStart w:id="63" w:name="_Toc18061_WPSOffice_Level1"/>
      <w:bookmarkStart w:id="64" w:name="_Toc5694"/>
      <w:bookmarkStart w:id="65" w:name="_Toc516620595"/>
      <w:r>
        <w:rPr>
          <w:rFonts w:hint="eastAsia" w:ascii="宋体" w:hAnsi="宋体" w:eastAsia="宋体" w:cs="宋体"/>
          <w:snapToGrid w:val="0"/>
          <w:color w:val="auto"/>
          <w:kern w:val="0"/>
          <w:sz w:val="36"/>
          <w:szCs w:val="36"/>
          <w:highlight w:val="none"/>
        </w:rPr>
        <w:t>第二章 投标人须知</w:t>
      </w:r>
      <w:bookmarkEnd w:id="17"/>
      <w:bookmarkEnd w:id="18"/>
      <w:bookmarkEnd w:id="19"/>
      <w:bookmarkEnd w:id="20"/>
      <w:bookmarkEnd w:id="63"/>
      <w:bookmarkEnd w:id="64"/>
      <w:bookmarkEnd w:id="65"/>
    </w:p>
    <w:p>
      <w:pPr>
        <w:pStyle w:val="4"/>
        <w:spacing w:line="360" w:lineRule="auto"/>
        <w:rPr>
          <w:rFonts w:ascii="宋体" w:hAnsi="宋体" w:eastAsia="宋体" w:cs="宋体"/>
          <w:color w:val="auto"/>
          <w:sz w:val="24"/>
          <w:szCs w:val="24"/>
          <w:highlight w:val="none"/>
        </w:rPr>
      </w:pPr>
      <w:bookmarkStart w:id="66" w:name="_Toc277082551"/>
      <w:bookmarkStart w:id="67" w:name="_Toc451732594"/>
      <w:bookmarkStart w:id="68" w:name="_Toc287607745"/>
      <w:bookmarkStart w:id="69" w:name="_Toc224103316"/>
      <w:bookmarkStart w:id="70" w:name="_Toc342252418"/>
      <w:bookmarkStart w:id="71" w:name="_Toc342906380"/>
      <w:bookmarkStart w:id="72" w:name="_Toc6366"/>
      <w:bookmarkStart w:id="73" w:name="_Toc342252602"/>
      <w:bookmarkStart w:id="74" w:name="_Toc516620596"/>
      <w:r>
        <w:rPr>
          <w:rFonts w:hint="eastAsia" w:ascii="宋体" w:hAnsi="宋体" w:eastAsia="宋体" w:cs="宋体"/>
          <w:color w:val="auto"/>
          <w:sz w:val="24"/>
          <w:szCs w:val="24"/>
          <w:highlight w:val="none"/>
        </w:rPr>
        <w:t>投标人须知前附表</w:t>
      </w:r>
      <w:bookmarkEnd w:id="66"/>
      <w:bookmarkEnd w:id="67"/>
      <w:bookmarkEnd w:id="68"/>
      <w:bookmarkEnd w:id="69"/>
      <w:bookmarkEnd w:id="70"/>
      <w:bookmarkEnd w:id="71"/>
      <w:bookmarkEnd w:id="72"/>
      <w:bookmarkEnd w:id="73"/>
      <w:bookmarkEnd w:id="74"/>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43"/>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条款号</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条款名称</w:t>
            </w:r>
          </w:p>
        </w:tc>
        <w:tc>
          <w:tcPr>
            <w:tcW w:w="6530"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1.1.2</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招标人</w:t>
            </w:r>
          </w:p>
        </w:tc>
        <w:tc>
          <w:tcPr>
            <w:tcW w:w="6530"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重庆水资源产业股份有限公司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1.1.3</w:t>
            </w:r>
          </w:p>
        </w:tc>
        <w:tc>
          <w:tcPr>
            <w:tcW w:w="1843" w:type="dxa"/>
            <w:noWrap w:val="0"/>
            <w:vAlign w:val="center"/>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65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重庆市弘禹水利咨询有限公司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1.1.4</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项目名称</w:t>
            </w:r>
          </w:p>
        </w:tc>
        <w:tc>
          <w:tcPr>
            <w:tcW w:w="6530"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重庆水资源产业股份有限公司供水客服话务中心服务外包项目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1.1.5</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项目地点</w:t>
            </w:r>
          </w:p>
        </w:tc>
        <w:tc>
          <w:tcPr>
            <w:tcW w:w="6530" w:type="dxa"/>
            <w:noWrap w:val="0"/>
            <w:vAlign w:val="center"/>
          </w:tcPr>
          <w:p>
            <w:pPr>
              <w:rPr>
                <w:rFonts w:hint="default" w:ascii="宋体" w:hAnsi="宋体" w:eastAsia="宋体" w:cs="宋体"/>
                <w:color w:val="auto"/>
                <w:sz w:val="21"/>
                <w:szCs w:val="21"/>
                <w:highlight w:val="none"/>
                <w:lang w:val="en-US"/>
              </w:rPr>
            </w:pPr>
            <w:r>
              <w:rPr>
                <w:rFonts w:hint="eastAsia" w:ascii="宋体" w:hAnsi="宋体" w:eastAsia="宋体"/>
                <w:color w:val="auto"/>
                <w:sz w:val="21"/>
                <w:szCs w:val="21"/>
                <w:highlight w:val="none"/>
                <w:lang w:val="en-US" w:eastAsia="zh-CN"/>
              </w:rPr>
              <w:t>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1.2.1</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资金来源</w:t>
            </w:r>
          </w:p>
        </w:tc>
        <w:tc>
          <w:tcPr>
            <w:tcW w:w="6530" w:type="dxa"/>
            <w:noWrap w:val="0"/>
            <w:vAlign w:val="center"/>
          </w:tcPr>
          <w:p>
            <w:pPr>
              <w:rPr>
                <w:rFonts w:ascii="宋体" w:hAnsi="宋体" w:eastAsia="宋体" w:cs="宋体"/>
                <w:snapToGrid w:val="0"/>
                <w:color w:val="auto"/>
                <w:sz w:val="21"/>
                <w:szCs w:val="21"/>
                <w:highlight w:val="none"/>
                <w:u w:val="single"/>
              </w:rPr>
            </w:pPr>
            <w:r>
              <w:rPr>
                <w:rFonts w:hint="eastAsia" w:ascii="宋体" w:hAnsi="宋体" w:eastAsia="宋体" w:cs="宋体"/>
                <w:color w:val="auto"/>
                <w:sz w:val="21"/>
                <w:szCs w:val="21"/>
                <w:highlight w:val="none"/>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1.2.2</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出资比例</w:t>
            </w:r>
          </w:p>
        </w:tc>
        <w:tc>
          <w:tcPr>
            <w:tcW w:w="6530" w:type="dxa"/>
            <w:noWrap w:val="0"/>
            <w:vAlign w:val="center"/>
          </w:tcPr>
          <w:p>
            <w:pP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1.2.3</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资金落实情况</w:t>
            </w:r>
          </w:p>
        </w:tc>
        <w:tc>
          <w:tcPr>
            <w:tcW w:w="6530" w:type="dxa"/>
            <w:noWrap w:val="0"/>
            <w:vAlign w:val="center"/>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1.3.1</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招标范围</w:t>
            </w:r>
          </w:p>
        </w:tc>
        <w:tc>
          <w:tcPr>
            <w:tcW w:w="6530" w:type="dxa"/>
            <w:noWrap w:val="0"/>
            <w:vAlign w:val="center"/>
          </w:tcPr>
          <w:p>
            <w:pPr>
              <w:spacing w:line="440" w:lineRule="exact"/>
              <w:rPr>
                <w:rFonts w:ascii="宋体" w:hAnsi="宋体" w:eastAsia="宋体" w:cs="宋体"/>
                <w:color w:val="auto"/>
                <w:sz w:val="21"/>
                <w:szCs w:val="21"/>
                <w:highlight w:val="none"/>
              </w:rPr>
            </w:pPr>
            <w:r>
              <w:rPr>
                <w:rFonts w:hint="eastAsia" w:ascii="宋体" w:hAnsi="宋体" w:eastAsia="宋体" w:cs="宋体"/>
                <w:snapToGrid w:val="0"/>
                <w:color w:val="auto"/>
                <w:sz w:val="22"/>
                <w:szCs w:val="22"/>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1.3.2</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服务期限</w:t>
            </w:r>
          </w:p>
        </w:tc>
        <w:tc>
          <w:tcPr>
            <w:tcW w:w="6530" w:type="dxa"/>
            <w:noWrap w:val="0"/>
            <w:vAlign w:val="center"/>
          </w:tcPr>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1.3.3</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质量要求</w:t>
            </w:r>
          </w:p>
        </w:tc>
        <w:tc>
          <w:tcPr>
            <w:tcW w:w="6530" w:type="dxa"/>
            <w:noWrap w:val="0"/>
            <w:vAlign w:val="center"/>
          </w:tcPr>
          <w:p>
            <w:pPr>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rPr>
              <w:t>符合国家现行有关规范要求。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59" w:type="dxa"/>
            <w:noWrap w:val="0"/>
            <w:vAlign w:val="center"/>
          </w:tcPr>
          <w:p>
            <w:pPr>
              <w:jc w:val="center"/>
              <w:rPr>
                <w:rFonts w:ascii="宋体" w:hAnsi="宋体" w:eastAsia="宋体" w:cs="宋体"/>
                <w:snapToGrid w:val="0"/>
                <w:color w:val="auto"/>
                <w:sz w:val="21"/>
                <w:szCs w:val="21"/>
                <w:highlight w:val="none"/>
              </w:rPr>
            </w:pPr>
          </w:p>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1.4.1</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投标人资质条件、能力和信誉</w:t>
            </w:r>
          </w:p>
        </w:tc>
        <w:tc>
          <w:tcPr>
            <w:tcW w:w="6530" w:type="dxa"/>
            <w:noWrap w:val="0"/>
            <w:vAlign w:val="center"/>
          </w:tcPr>
          <w:p>
            <w:pPr>
              <w:spacing w:line="44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本次招标实行资格后审，投标人应满足下列对应资格条件：</w:t>
            </w:r>
          </w:p>
          <w:p>
            <w:pPr>
              <w:spacing w:line="440" w:lineRule="exact"/>
              <w:ind w:firstLine="420" w:firstLineChars="200"/>
              <w:rPr>
                <w:rFonts w:hint="default" w:ascii="宋体" w:hAnsi="宋体" w:eastAsia="宋体"/>
                <w:color w:val="auto"/>
                <w:sz w:val="21"/>
                <w:szCs w:val="21"/>
                <w:lang w:val="en-US" w:eastAsia="zh-CN"/>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资质条件</w:t>
            </w:r>
          </w:p>
          <w:p>
            <w:pPr>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lang w:val="en-US" w:eastAsia="zh-CN"/>
              </w:rPr>
              <w:t>投标人须具有有效的营业执照（分支机构参与投标的须具有总公司的参与本项目唯一授权函原件，总公司和分支机构不得同时参与投标，一个总公司不得授权多家分支机构参与投标）</w:t>
            </w:r>
            <w:r>
              <w:rPr>
                <w:rFonts w:hint="eastAsia" w:ascii="宋体" w:hAnsi="宋体" w:eastAsia="宋体"/>
                <w:color w:val="auto"/>
                <w:sz w:val="21"/>
                <w:szCs w:val="21"/>
              </w:rPr>
              <w:t>。</w:t>
            </w:r>
          </w:p>
          <w:p>
            <w:pPr>
              <w:spacing w:line="440" w:lineRule="exact"/>
              <w:ind w:firstLine="420" w:firstLineChars="200"/>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总公司参与投标的，提供</w:t>
            </w:r>
            <w:r>
              <w:rPr>
                <w:rFonts w:hint="eastAsia" w:ascii="宋体" w:hAnsi="宋体" w:eastAsia="宋体"/>
                <w:color w:val="auto"/>
                <w:sz w:val="21"/>
                <w:szCs w:val="21"/>
              </w:rPr>
              <w:t>营业执照</w:t>
            </w:r>
            <w:r>
              <w:rPr>
                <w:rFonts w:hint="eastAsia" w:ascii="宋体" w:hAnsi="宋体" w:eastAsia="宋体"/>
                <w:color w:val="auto"/>
                <w:sz w:val="21"/>
                <w:szCs w:val="21"/>
                <w:lang w:eastAsia="zh-CN"/>
              </w:rPr>
              <w:t>；</w:t>
            </w:r>
          </w:p>
          <w:p>
            <w:pPr>
              <w:spacing w:line="440" w:lineRule="exact"/>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olor w:val="auto"/>
                <w:sz w:val="21"/>
                <w:szCs w:val="21"/>
                <w:lang w:val="en-US" w:eastAsia="zh-CN"/>
              </w:rPr>
              <w:t>分支机构参与投标的提供总公司的授权函和分支机构营业执照</w:t>
            </w:r>
            <w:r>
              <w:rPr>
                <w:rFonts w:hint="eastAsia" w:ascii="宋体" w:hAnsi="宋体" w:eastAsia="宋体"/>
                <w:color w:val="auto"/>
                <w:sz w:val="21"/>
                <w:szCs w:val="21"/>
              </w:rPr>
              <w:t>。</w:t>
            </w:r>
          </w:p>
          <w:p>
            <w:pPr>
              <w:spacing w:line="440" w:lineRule="exact"/>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2、业绩要求：</w:t>
            </w:r>
          </w:p>
          <w:p>
            <w:pPr>
              <w:spacing w:line="440" w:lineRule="exact"/>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olor w:val="auto"/>
                <w:sz w:val="21"/>
                <w:szCs w:val="21"/>
                <w:highlight w:val="none"/>
                <w:lang w:val="en-US" w:eastAsia="zh-CN"/>
              </w:rPr>
              <w:t>投标人于</w:t>
            </w:r>
            <w:r>
              <w:rPr>
                <w:rFonts w:hint="eastAsia" w:ascii="宋体" w:hAnsi="宋体" w:eastAsia="宋体" w:cs="Times New Roman"/>
                <w:color w:val="auto"/>
                <w:sz w:val="21"/>
                <w:szCs w:val="21"/>
                <w:highlight w:val="none"/>
                <w:lang w:val="en-US" w:eastAsia="zh-CN"/>
              </w:rPr>
              <w:t>2020年1月1日至投标截至时间止（以合同签订时间为准），至少具有1个年度服务金额不低于 100 万元话务热线外包服务项目业绩(合同中需体现人员外包服务或人员坐席数量 )。</w:t>
            </w:r>
          </w:p>
          <w:p>
            <w:pPr>
              <w:spacing w:line="440" w:lineRule="exact"/>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提供：合同协议书复印件</w:t>
            </w:r>
          </w:p>
          <w:p>
            <w:pPr>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lang w:val="en-US" w:eastAsia="zh-CN"/>
              </w:rPr>
              <w:t>3</w:t>
            </w:r>
            <w:r>
              <w:rPr>
                <w:rFonts w:hint="eastAsia" w:ascii="宋体" w:hAnsi="宋体" w:eastAsia="宋体"/>
                <w:color w:val="auto"/>
                <w:sz w:val="21"/>
                <w:szCs w:val="21"/>
              </w:rPr>
              <w:t>、投标截止日内，有以下情况之一，将被否决投标资格：</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投标人自行承诺（格式</w:t>
            </w:r>
            <w:r>
              <w:rPr>
                <w:rFonts w:hint="eastAsia" w:ascii="宋体" w:hAnsi="宋体" w:eastAsia="宋体" w:cs="宋体"/>
                <w:sz w:val="21"/>
                <w:szCs w:val="21"/>
                <w:lang w:val="en-US" w:eastAsia="zh-CN"/>
              </w:rPr>
              <w:t>自拟</w:t>
            </w:r>
            <w:r>
              <w:rPr>
                <w:rFonts w:hint="eastAsia" w:ascii="宋体" w:hAnsi="宋体" w:eastAsia="宋体" w:cs="宋体"/>
                <w:sz w:val="21"/>
                <w:szCs w:val="21"/>
              </w:rPr>
              <w:t>）不得存在下列情形之一：</w:t>
            </w:r>
          </w:p>
          <w:p>
            <w:pPr>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（1）被人民法院列入失信被执行人名单且在被执行期内；</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（2）被列入《重庆市工程建设领域招标投标信用管理暂行办法》规定的重点关注名单且记分达到12分且在记分有效期内；</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（4）被国家、重庆市（含市或任意区县）有关行政部门处以暂停投标资格行政处罚，且在处罚期限内；</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（5）被重庆市</w:t>
            </w:r>
            <w:r>
              <w:rPr>
                <w:rFonts w:hint="eastAsia" w:ascii="宋体" w:hAnsi="宋体" w:eastAsia="宋体" w:cs="宋体"/>
                <w:color w:val="auto"/>
                <w:sz w:val="21"/>
                <w:szCs w:val="21"/>
                <w:highlight w:val="none"/>
                <w:lang w:val="en-US" w:eastAsia="zh-CN"/>
              </w:rPr>
              <w:t>市级有关行业</w:t>
            </w:r>
            <w:r>
              <w:rPr>
                <w:rFonts w:hint="eastAsia" w:ascii="宋体" w:hAnsi="宋体" w:eastAsia="宋体" w:cs="宋体"/>
                <w:sz w:val="21"/>
                <w:szCs w:val="21"/>
              </w:rPr>
              <w:t>主管部门暂停在渝承揽新业务且在暂停期内。</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投标人须在投标文件资格审查部分提供承诺。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上述第（2）、（3）款信用情况在开标现场进行查询，查询结果交由评标委员会评审，若投标人针对上述第（2）、（3）款的承诺内容与查询结果不符，由评标委员会作否决投标处理。</w:t>
            </w:r>
          </w:p>
          <w:p>
            <w:pPr>
              <w:spacing w:line="440" w:lineRule="exact"/>
              <w:ind w:firstLine="420" w:firstLineChars="200"/>
              <w:rPr>
                <w:rFonts w:hint="eastAsia"/>
              </w:rPr>
            </w:pPr>
            <w:r>
              <w:rPr>
                <w:rFonts w:hint="eastAsia" w:ascii="宋体" w:hAnsi="宋体" w:eastAsia="宋体" w:cs="宋体"/>
                <w:sz w:val="21"/>
                <w:szCs w:val="21"/>
              </w:rPr>
              <w:t>注：投标人是否因有不良行为记分、进入重点关注名单或黑名单而被限制投标的，以开标环节信用状况查询结果为准</w:t>
            </w:r>
            <w:r>
              <w:rPr>
                <w:rFonts w:hint="eastAsia"/>
              </w:rPr>
              <w:t>。</w:t>
            </w:r>
          </w:p>
          <w:p>
            <w:pPr>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提供：投标人出具承诺，格式</w:t>
            </w:r>
            <w:r>
              <w:rPr>
                <w:rFonts w:hint="eastAsia" w:ascii="宋体" w:hAnsi="宋体" w:eastAsia="宋体"/>
                <w:color w:val="auto"/>
                <w:sz w:val="21"/>
                <w:szCs w:val="21"/>
                <w:lang w:val="en-US" w:eastAsia="zh-CN"/>
              </w:rPr>
              <w:t>自拟</w:t>
            </w:r>
            <w:r>
              <w:rPr>
                <w:rFonts w:hint="eastAsia" w:ascii="宋体" w:hAnsi="宋体" w:eastAsia="宋体"/>
                <w:color w:val="auto"/>
                <w:sz w:val="21"/>
                <w:szCs w:val="21"/>
              </w:rPr>
              <w:t>。</w:t>
            </w:r>
          </w:p>
          <w:p>
            <w:pPr>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lang w:val="en-US" w:eastAsia="zh-CN"/>
              </w:rPr>
              <w:t>4</w:t>
            </w:r>
            <w:r>
              <w:rPr>
                <w:rFonts w:hint="eastAsia" w:ascii="宋体" w:hAnsi="宋体" w:eastAsia="宋体"/>
                <w:color w:val="auto"/>
                <w:sz w:val="21"/>
                <w:szCs w:val="21"/>
              </w:rPr>
              <w:t>.其他要求</w:t>
            </w:r>
          </w:p>
          <w:p>
            <w:pPr>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委托代理人：</w:t>
            </w:r>
          </w:p>
          <w:p>
            <w:pPr>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委托代理人必须为投标单位人员。</w:t>
            </w:r>
          </w:p>
          <w:p>
            <w:pPr>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提供：养老保险证明</w:t>
            </w:r>
            <w:r>
              <w:rPr>
                <w:rFonts w:hint="eastAsia" w:ascii="宋体" w:hAnsi="宋体" w:eastAsia="宋体"/>
                <w:color w:val="auto"/>
                <w:sz w:val="21"/>
                <w:szCs w:val="21"/>
                <w:lang w:val="en-US" w:eastAsia="zh-CN"/>
              </w:rPr>
              <w:t>材料</w:t>
            </w:r>
            <w:r>
              <w:rPr>
                <w:rFonts w:hint="eastAsia" w:ascii="宋体" w:hAnsi="宋体" w:eastAsia="宋体"/>
                <w:color w:val="auto"/>
                <w:sz w:val="21"/>
                <w:szCs w:val="21"/>
              </w:rPr>
              <w:t>。</w:t>
            </w:r>
          </w:p>
          <w:p>
            <w:pPr>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特别说明：</w:t>
            </w:r>
          </w:p>
          <w:p>
            <w:pPr>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（1）上述要求须提交的相关证明材料均为复印件，复印件须清晰可辨，有一条不满足，则投标文件由评标委员会作否决投标处理。</w:t>
            </w:r>
          </w:p>
          <w:p>
            <w:pPr>
              <w:spacing w:line="440" w:lineRule="exact"/>
              <w:ind w:firstLine="420" w:firstLineChars="200"/>
              <w:rPr>
                <w:rFonts w:hint="default"/>
                <w:color w:val="auto"/>
                <w:highlight w:val="none"/>
                <w:lang w:val="en-US" w:eastAsia="zh-CN"/>
              </w:rPr>
            </w:pPr>
            <w:r>
              <w:rPr>
                <w:rFonts w:hint="eastAsia" w:ascii="宋体" w:hAnsi="宋体" w:eastAsia="宋体"/>
                <w:color w:val="auto"/>
                <w:sz w:val="21"/>
                <w:szCs w:val="21"/>
              </w:rPr>
              <w:t>（2）招标人有权对投标人提供的资料进行核实，若发现弄虚作假，按相关规定取消其中标资格，并按相关法律法规报招标投标监督部门，其投标保证金不予退还，投标人承担因此造成的相关责任并赔偿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1.4.2</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是否接受联合体投标</w:t>
            </w:r>
          </w:p>
        </w:tc>
        <w:tc>
          <w:tcPr>
            <w:tcW w:w="6530" w:type="dxa"/>
            <w:noWrap w:val="0"/>
            <w:vAlign w:val="center"/>
          </w:tcPr>
          <w:p>
            <w:pP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1.9</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踏勘现场</w:t>
            </w:r>
          </w:p>
        </w:tc>
        <w:tc>
          <w:tcPr>
            <w:tcW w:w="6530" w:type="dxa"/>
            <w:noWrap w:val="0"/>
            <w:vAlign w:val="center"/>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1.10</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投标预备会</w:t>
            </w:r>
          </w:p>
        </w:tc>
        <w:tc>
          <w:tcPr>
            <w:tcW w:w="6530" w:type="dxa"/>
            <w:noWrap w:val="0"/>
            <w:vAlign w:val="center"/>
          </w:tcPr>
          <w:p>
            <w:pP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2.2.1</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投标人提出问题的截止时间</w:t>
            </w:r>
          </w:p>
        </w:tc>
        <w:tc>
          <w:tcPr>
            <w:tcW w:w="6530" w:type="dxa"/>
            <w:noWrap w:val="0"/>
            <w:vAlign w:val="center"/>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时00分，由投标人在</w:t>
            </w:r>
            <w:r>
              <w:rPr>
                <w:rFonts w:hint="eastAsia" w:ascii="宋体" w:hAnsi="宋体" w:eastAsia="宋体" w:cs="宋体"/>
                <w:snapToGrid w:val="0"/>
                <w:color w:val="auto"/>
                <w:sz w:val="21"/>
                <w:szCs w:val="21"/>
                <w:highlight w:val="none"/>
              </w:rPr>
              <w:t>重庆市公共资源交易网（www.cqggzy.com）上提出。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2.2.2</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招标人书面澄清的时间</w:t>
            </w:r>
          </w:p>
        </w:tc>
        <w:tc>
          <w:tcPr>
            <w:tcW w:w="6530" w:type="dxa"/>
            <w:noWrap w:val="0"/>
            <w:vAlign w:val="center"/>
          </w:tcPr>
          <w:p>
            <w:pPr>
              <w:ind w:left="420" w:hanging="420" w:hanging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59</w:t>
            </w:r>
            <w:r>
              <w:rPr>
                <w:rFonts w:hint="eastAsia" w:ascii="宋体" w:hAnsi="宋体" w:eastAsia="宋体" w:cs="宋体"/>
                <w:color w:val="auto"/>
                <w:sz w:val="21"/>
                <w:szCs w:val="21"/>
                <w:highlight w:val="none"/>
              </w:rPr>
              <w:t>分，由招标人在</w:t>
            </w:r>
            <w:r>
              <w:rPr>
                <w:rFonts w:hint="eastAsia" w:ascii="宋体" w:hAnsi="宋体" w:eastAsia="宋体" w:cs="宋体"/>
                <w:snapToGrid w:val="0"/>
                <w:color w:val="auto"/>
                <w:sz w:val="21"/>
                <w:szCs w:val="21"/>
                <w:highlight w:val="none"/>
              </w:rPr>
              <w:t>重庆市公共资源交易网上发出。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2.3.1</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招标人修改招标文件的时间</w:t>
            </w:r>
          </w:p>
        </w:tc>
        <w:tc>
          <w:tcPr>
            <w:tcW w:w="6530" w:type="dxa"/>
            <w:noWrap w:val="0"/>
            <w:vAlign w:val="center"/>
          </w:tcPr>
          <w:p>
            <w:pPr>
              <w:rPr>
                <w:rFonts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20</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59</w:t>
            </w:r>
            <w:r>
              <w:rPr>
                <w:rFonts w:hint="eastAsia" w:ascii="宋体" w:hAnsi="宋体" w:eastAsia="宋体" w:cs="宋体"/>
                <w:color w:val="auto"/>
                <w:sz w:val="21"/>
                <w:szCs w:val="21"/>
                <w:highlight w:val="none"/>
              </w:rPr>
              <w:t>分，由招标人在</w:t>
            </w:r>
            <w:r>
              <w:rPr>
                <w:rFonts w:hint="eastAsia" w:ascii="宋体" w:hAnsi="宋体" w:eastAsia="宋体" w:cs="宋体"/>
                <w:snapToGrid w:val="0"/>
                <w:color w:val="auto"/>
                <w:sz w:val="21"/>
                <w:szCs w:val="21"/>
                <w:highlight w:val="none"/>
              </w:rPr>
              <w:t>重庆市公共资源交易网上发出。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3.3.1</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投标有效期</w:t>
            </w:r>
          </w:p>
        </w:tc>
        <w:tc>
          <w:tcPr>
            <w:tcW w:w="6530" w:type="dxa"/>
            <w:noWrap w:val="0"/>
            <w:vAlign w:val="center"/>
          </w:tcPr>
          <w:p>
            <w:pPr>
              <w:rPr>
                <w:rFonts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u w:val="single"/>
              </w:rPr>
              <w:t xml:space="preserve"> 90 </w:t>
            </w:r>
            <w:r>
              <w:rPr>
                <w:rFonts w:hint="eastAsia" w:ascii="宋体" w:hAnsi="宋体" w:eastAsia="宋体" w:cs="宋体"/>
                <w:color w:val="auto"/>
                <w:sz w:val="21"/>
                <w:szCs w:val="21"/>
                <w:highlight w:val="none"/>
              </w:rPr>
              <w:t>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bottom w:val="single" w:color="auto" w:sz="4" w:space="0"/>
            </w:tcBorders>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3.2</w:t>
            </w:r>
          </w:p>
        </w:tc>
        <w:tc>
          <w:tcPr>
            <w:tcW w:w="1843" w:type="dxa"/>
            <w:tcBorders>
              <w:bottom w:val="single" w:color="auto" w:sz="4" w:space="0"/>
            </w:tcBorders>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投标报价</w:t>
            </w:r>
          </w:p>
          <w:p>
            <w:pPr>
              <w:jc w:val="center"/>
              <w:rPr>
                <w:rFonts w:ascii="宋体" w:hAnsi="宋体" w:eastAsia="宋体" w:cs="宋体"/>
                <w:snapToGrid w:val="0"/>
                <w:color w:val="auto"/>
                <w:sz w:val="21"/>
                <w:szCs w:val="21"/>
                <w:highlight w:val="none"/>
              </w:rPr>
            </w:pPr>
          </w:p>
        </w:tc>
        <w:tc>
          <w:tcPr>
            <w:tcW w:w="6530" w:type="dxa"/>
            <w:tcBorders>
              <w:bottom w:val="single" w:color="auto" w:sz="4" w:space="0"/>
            </w:tcBorders>
            <w:noWrap w:val="0"/>
            <w:vAlign w:val="center"/>
          </w:tcPr>
          <w:p>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1、投标报价为固定总价，除合同另有约定外，合同价格不做任何调整。</w:t>
            </w:r>
          </w:p>
          <w:p>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本项目各投标人应根据合理报价原则，报价包含但不限于完成招标文件所确定的委托范围内所需的一切费用；由各投标人根据招标文件要求，结合自身经营模式、管理水平，服务地点差异和市场行情，自行确定投标报价。</w:t>
            </w:r>
          </w:p>
          <w:p>
            <w:pPr>
              <w:pStyle w:val="44"/>
              <w:ind w:firstLineChars="200"/>
              <w:rPr>
                <w:rFonts w:ascii="宋体" w:hAnsi="宋体" w:cs="宋体"/>
                <w:color w:val="auto"/>
                <w:szCs w:val="21"/>
              </w:rPr>
            </w:pPr>
            <w:r>
              <w:rPr>
                <w:rFonts w:hint="eastAsia" w:ascii="宋体" w:hAnsi="宋体" w:cs="宋体"/>
                <w:color w:val="auto"/>
                <w:szCs w:val="21"/>
              </w:rPr>
              <w:t>3、本项目总价最高限价为人民币268.48万元。</w:t>
            </w:r>
          </w:p>
          <w:p>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rPr>
              <w:t>4、投标人投标总价不得高于最高限价，否则由评标委员会按否决投标处理。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3.4.1</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投标保证金</w:t>
            </w:r>
          </w:p>
        </w:tc>
        <w:tc>
          <w:tcPr>
            <w:tcW w:w="6530" w:type="dxa"/>
            <w:noWrap w:val="0"/>
            <w:vAlign w:val="center"/>
          </w:tcPr>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投标保证金的交纳方式：投标人可选择以下三种方式之一。</w:t>
            </w:r>
          </w:p>
          <w:p>
            <w:pP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方式一</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一、以电子投标保函形式交纳投标保证金</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若投标截止时间延期，则电子投标保函提交的截止时间和投标截止时间应当保持一致。</w:t>
            </w:r>
          </w:p>
          <w:p>
            <w:pP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不满足上述要求的电子投标保函无效。</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 以电子投标保函形式担保的投标保证金的金额：</w:t>
            </w:r>
            <w:r>
              <w:rPr>
                <w:rFonts w:hint="eastAsia" w:ascii="宋体" w:hAnsi="宋体" w:eastAsia="宋体" w:cs="宋体"/>
                <w:snapToGrid w:val="0"/>
                <w:color w:val="auto"/>
                <w:sz w:val="21"/>
                <w:szCs w:val="21"/>
                <w:lang w:val="en-US" w:eastAsia="zh-CN"/>
              </w:rPr>
              <w:t>4</w:t>
            </w:r>
            <w:r>
              <w:rPr>
                <w:rFonts w:hint="eastAsia" w:ascii="宋体" w:hAnsi="宋体" w:eastAsia="宋体" w:cs="宋体"/>
                <w:snapToGrid w:val="0"/>
                <w:color w:val="auto"/>
                <w:sz w:val="21"/>
                <w:szCs w:val="21"/>
              </w:rPr>
              <w:t>万元整（人民币），重庆市工程建设领域招标投标守信激励对象名单（以下简称红名单）中的投标人投标保证金金额为应缴纳金额的50%。投标人是否属于红名单，以开标环节信用状况查询结果为准。</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 电子投标保函</w:t>
            </w:r>
          </w:p>
          <w:p>
            <w:pP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以重庆市公共资源交易中心开标现场展示的电子投标保函交纳情况为准，投标人在投标时无须再提供电子投标保函的相关资料。</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二、电子投标保函的注销</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招标人应当在法定时间内确定中标人。招标人应当在中标通知书发出后2个工作日内将中标通知书和电子投标保函退还通知抄告重庆市公共资源交易中心，重庆市公共资源交易中心在收到电子投标保函退还通知后2个工作日内，将保函注销信息推送给重庆市公共资源交易金融服务平台，由保函出具机构注销除中标人和中标候选人以外的投标人电子投标保函。</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招标人应当在法定时间内和中标人签订合同。招标人应当在合同生效后2个工作日内将签订的合同和电子投标保函退还通知抄告重庆市公共资源交易中心，重庆市公共资源交易中心在收到电子投标保函退还通知后2个工作日内，将保函注销信息推送给重庆市公共资源交易金融服务平台，由保函出具机构注销中标人和中标候选人的电子投标保函。</w:t>
            </w:r>
          </w:p>
          <w:p>
            <w:pPr>
              <w:rPr>
                <w:rFonts w:hint="eastAsia" w:ascii="宋体" w:hAnsi="宋体" w:eastAsia="宋体" w:cs="宋体"/>
                <w:snapToGrid w:val="0"/>
                <w:color w:val="auto"/>
                <w:sz w:val="21"/>
                <w:szCs w:val="21"/>
              </w:rPr>
            </w:pPr>
          </w:p>
          <w:p>
            <w:pP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方式二</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一、以转账支票或电汇形式交纳投标保证金</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不满足上述要求的投标保证金无效。</w:t>
            </w:r>
          </w:p>
          <w:p>
            <w:pP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投标人自行考虑汇入时间风险，如同城汇入、异地汇入、跨行汇入的时间要求。</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2、以转账支票或电汇形式提交投标保证金的金额：</w:t>
            </w:r>
            <w:r>
              <w:rPr>
                <w:rFonts w:hint="eastAsia" w:ascii="宋体" w:hAnsi="宋体" w:eastAsia="宋体" w:cs="宋体"/>
                <w:snapToGrid w:val="0"/>
                <w:color w:val="auto"/>
                <w:sz w:val="21"/>
                <w:szCs w:val="21"/>
                <w:lang w:val="en-US" w:eastAsia="zh-CN"/>
              </w:rPr>
              <w:t>4</w:t>
            </w:r>
            <w:r>
              <w:rPr>
                <w:rFonts w:hint="eastAsia" w:ascii="宋体" w:hAnsi="宋体" w:eastAsia="宋体" w:cs="宋体"/>
                <w:snapToGrid w:val="0"/>
                <w:color w:val="auto"/>
                <w:sz w:val="21"/>
                <w:szCs w:val="21"/>
              </w:rPr>
              <w:t xml:space="preserve"> 万元整（人民币），红名单中的投标人投标保证金金额为应缴纳金额的50%。投标人是否属于红名单，以开标环节信用状况查询结果为准。</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3、投标保证金账户及账号（任选其一）：</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详见重庆市公共资源交易网（www.cqggzy.com）对应本项目招标公告信息栏中的保证金信息。</w:t>
            </w:r>
          </w:p>
          <w:p>
            <w:pP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投标保证金以重庆市公共资源交易中心开标现场展示的保证金交纳情况为准。投标人须在投标文件资格审查部分“其他资料”中提供企业基本账户开户证明文件。</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4、投标人必须在付款凭证备注栏中注明是“</w:t>
            </w:r>
            <w:r>
              <w:rPr>
                <w:rFonts w:hint="eastAsia" w:ascii="宋体" w:hAnsi="宋体" w:eastAsia="宋体" w:cs="宋体"/>
                <w:snapToGrid w:val="0"/>
                <w:color w:val="auto"/>
                <w:sz w:val="21"/>
                <w:szCs w:val="21"/>
                <w:lang w:eastAsia="zh-CN"/>
              </w:rPr>
              <w:t>重庆水资源产业股份有限公司供水客服话务中心服务外包</w:t>
            </w:r>
            <w:r>
              <w:rPr>
                <w:rFonts w:hint="eastAsia" w:ascii="宋体" w:hAnsi="宋体" w:eastAsia="宋体" w:cs="宋体"/>
                <w:snapToGrid w:val="0"/>
                <w:color w:val="auto"/>
                <w:sz w:val="21"/>
                <w:szCs w:val="21"/>
              </w:rPr>
              <w:t>项目投标保证金”。项目名称可简写成：</w:t>
            </w:r>
            <w:r>
              <w:rPr>
                <w:rFonts w:hint="eastAsia" w:ascii="宋体" w:hAnsi="宋体" w:eastAsia="宋体" w:cs="宋体"/>
                <w:snapToGrid w:val="0"/>
                <w:color w:val="auto"/>
                <w:sz w:val="21"/>
                <w:szCs w:val="21"/>
                <w:lang w:eastAsia="zh-CN"/>
              </w:rPr>
              <w:t>供水客服话务中心服务外包</w:t>
            </w:r>
            <w:r>
              <w:rPr>
                <w:rFonts w:hint="eastAsia" w:ascii="宋体" w:hAnsi="宋体" w:eastAsia="宋体" w:cs="宋体"/>
                <w:snapToGrid w:val="0"/>
                <w:color w:val="auto"/>
                <w:sz w:val="21"/>
                <w:szCs w:val="21"/>
              </w:rPr>
              <w:t xml:space="preserve"> 。</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5、投标保证金有效期与投标有效期一致。</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根据重庆市公共资源交易中心《关于开展公共资源交易市场主体信息登记工作的公告》的要求，投标人在开标前需在重庆市公共资源交易网（www.cqggzy.com）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pP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二、投标保证金的退还</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招标人应当在法定时间内确定中标人。招标人应当在中标通知书发出后2个工作日内将中标通知书和保证金退还通知抄告重庆市公共资源交易中心，重庆市公共资源交易中心在收到保证金退还通知后2个工作日内，向除中标人和中标候选人以外的投标人，退还投标保证金及银行同期活期存款利息。</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招标人应当在法定时间内和中标人签订合同。招标人应当在合同生效后2个工作日内将签订的合同和保证金退还通知抄告重庆市公共资源交易中心，重庆市公共资源交易中心在收到保证金退还通知后2个工作日内，向中标人和中标候选人退还投标保证金及银行同期活期存款利息。</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投标保证金专用账户由重庆市公共资源交易中心制定，关于保证金相关情况的问题请咨询重庆市公共资源交易中心，联系电话023-63626436。</w:t>
            </w:r>
          </w:p>
          <w:p>
            <w:pPr>
              <w:rPr>
                <w:rFonts w:hint="eastAsia" w:ascii="宋体" w:hAnsi="宋体" w:eastAsia="宋体" w:cs="宋体"/>
                <w:snapToGrid w:val="0"/>
                <w:color w:val="auto"/>
                <w:sz w:val="21"/>
                <w:szCs w:val="21"/>
              </w:rPr>
            </w:pPr>
          </w:p>
          <w:p>
            <w:pP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方式三</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一、以纸质投标保函形式交纳投标保证金</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 纸质投标保函交纳形式及要求：</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（1）缴纳形式：</w:t>
            </w:r>
            <w:r>
              <w:rPr>
                <w:rFonts w:hint="eastAsia" w:ascii="宋体" w:hAnsi="宋体" w:eastAsia="宋体" w:cs="宋体"/>
                <w:snapToGrid w:val="0"/>
                <w:color w:val="auto"/>
                <w:sz w:val="21"/>
                <w:szCs w:val="21"/>
                <w:lang w:val="en-US" w:eastAsia="zh-CN"/>
              </w:rPr>
              <w:t>纸质投标保函</w:t>
            </w:r>
            <w:r>
              <w:rPr>
                <w:rFonts w:hint="eastAsia" w:ascii="宋体" w:hAnsi="宋体" w:eastAsia="宋体" w:cs="宋体"/>
                <w:snapToGrid w:val="0"/>
                <w:color w:val="auto"/>
                <w:sz w:val="21"/>
                <w:szCs w:val="21"/>
              </w:rPr>
              <w:t>包括银行保函</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保证保险和担保保函</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其示范文本详见第五章投标文件格式。投标人提交的纸质投标保函应</w:t>
            </w:r>
            <w:r>
              <w:rPr>
                <w:rFonts w:hint="eastAsia" w:ascii="宋体" w:hAnsi="宋体" w:eastAsia="宋体" w:cs="宋体"/>
                <w:snapToGrid w:val="0"/>
                <w:color w:val="auto"/>
                <w:sz w:val="21"/>
                <w:szCs w:val="21"/>
              </w:rPr>
              <w:t>严格执行</w:t>
            </w:r>
            <w:r>
              <w:rPr>
                <w:rFonts w:hint="eastAsia" w:ascii="宋体" w:hAnsi="宋体" w:eastAsia="宋体" w:cs="宋体"/>
                <w:snapToGrid w:val="0"/>
                <w:color w:val="auto"/>
                <w:sz w:val="21"/>
                <w:szCs w:val="21"/>
                <w:lang w:val="en-US" w:eastAsia="zh-CN"/>
              </w:rPr>
              <w:t>其</w:t>
            </w:r>
            <w:r>
              <w:rPr>
                <w:rFonts w:hint="eastAsia" w:ascii="宋体" w:hAnsi="宋体" w:eastAsia="宋体" w:cs="宋体"/>
                <w:snapToGrid w:val="0"/>
                <w:color w:val="auto"/>
                <w:sz w:val="21"/>
                <w:szCs w:val="21"/>
              </w:rPr>
              <w:t>示范文本，不得对示范文本中的实质性内容进行修改</w:t>
            </w:r>
            <w:r>
              <w:rPr>
                <w:rFonts w:hint="eastAsia" w:ascii="宋体" w:hAnsi="宋体" w:eastAsia="宋体" w:cs="宋体"/>
                <w:snapToGrid w:val="0"/>
                <w:color w:val="auto"/>
                <w:sz w:val="21"/>
                <w:szCs w:val="21"/>
                <w:lang w:eastAsia="zh-CN"/>
              </w:rPr>
              <w:t>。</w:t>
            </w:r>
          </w:p>
          <w:p>
            <w:pPr>
              <w:ind w:firstLine="420" w:firstLineChars="200"/>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rPr>
              <w:t>（2）具体要求：</w:t>
            </w:r>
            <w:r>
              <w:rPr>
                <w:rFonts w:hint="eastAsia" w:ascii="宋体" w:hAnsi="宋体" w:eastAsia="宋体" w:cs="宋体"/>
                <w:snapToGrid w:val="0"/>
                <w:color w:val="auto"/>
                <w:sz w:val="21"/>
                <w:szCs w:val="21"/>
                <w:lang w:val="en-US" w:eastAsia="zh-CN"/>
              </w:rPr>
              <w:t>纸质投标</w:t>
            </w:r>
            <w:r>
              <w:rPr>
                <w:rFonts w:hint="eastAsia" w:ascii="宋体" w:hAnsi="宋体" w:eastAsia="宋体" w:cs="宋体"/>
                <w:snapToGrid w:val="0"/>
                <w:color w:val="auto"/>
                <w:sz w:val="21"/>
                <w:szCs w:val="21"/>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纸质投标</w:t>
            </w:r>
            <w:r>
              <w:rPr>
                <w:rFonts w:hint="eastAsia" w:ascii="宋体" w:hAnsi="宋体" w:eastAsia="宋体" w:cs="宋体"/>
                <w:snapToGrid w:val="0"/>
                <w:color w:val="auto"/>
                <w:sz w:val="21"/>
                <w:szCs w:val="21"/>
                <w:lang w:eastAsia="zh-CN"/>
              </w:rPr>
              <w:t>保函应合法合规，符合招投标行政监督部门、行业主管部门和金融监管部门的相关规定，满足招标文件约定要求。</w:t>
            </w:r>
            <w:r>
              <w:rPr>
                <w:rFonts w:hint="eastAsia" w:ascii="宋体" w:hAnsi="宋体" w:eastAsia="宋体" w:cs="宋体"/>
                <w:snapToGrid w:val="0"/>
                <w:color w:val="auto"/>
                <w:sz w:val="21"/>
                <w:szCs w:val="21"/>
                <w:lang w:val="en-US" w:eastAsia="zh-CN"/>
              </w:rPr>
              <w:t>投标人</w:t>
            </w:r>
            <w:r>
              <w:rPr>
                <w:rFonts w:hint="eastAsia" w:ascii="宋体" w:hAnsi="宋体" w:eastAsia="宋体" w:cs="宋体"/>
                <w:snapToGrid w:val="0"/>
                <w:color w:val="auto"/>
                <w:sz w:val="21"/>
                <w:szCs w:val="21"/>
              </w:rPr>
              <w:t>应选择在渝依法设立总部或者设有分支机构的金融机构开具</w:t>
            </w:r>
            <w:r>
              <w:rPr>
                <w:rFonts w:hint="eastAsia" w:ascii="宋体" w:hAnsi="宋体" w:eastAsia="宋体" w:cs="宋体"/>
                <w:snapToGrid w:val="0"/>
                <w:color w:val="auto"/>
                <w:sz w:val="21"/>
                <w:szCs w:val="21"/>
                <w:lang w:val="en-US" w:eastAsia="zh-CN"/>
              </w:rPr>
              <w:t>纸质投标</w:t>
            </w:r>
            <w:r>
              <w:rPr>
                <w:rFonts w:hint="eastAsia" w:ascii="宋体" w:hAnsi="宋体" w:eastAsia="宋体" w:cs="宋体"/>
                <w:snapToGrid w:val="0"/>
                <w:color w:val="auto"/>
                <w:sz w:val="21"/>
                <w:szCs w:val="21"/>
              </w:rPr>
              <w:t>保函</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投标人对所提交的纸质投标保函的真实性、合法性、有效性负责。</w:t>
            </w:r>
          </w:p>
          <w:p>
            <w:pP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投标人须在投标文件投标保函部分提供</w:t>
            </w:r>
            <w:r>
              <w:rPr>
                <w:rFonts w:hint="eastAsia" w:ascii="宋体" w:hAnsi="宋体" w:eastAsia="宋体" w:cs="宋体"/>
                <w:snapToGrid w:val="0"/>
                <w:color w:val="auto"/>
                <w:sz w:val="21"/>
                <w:szCs w:val="21"/>
                <w:lang w:val="en-US" w:eastAsia="zh-CN"/>
              </w:rPr>
              <w:t>纸质</w:t>
            </w:r>
            <w:r>
              <w:rPr>
                <w:rFonts w:hint="eastAsia" w:ascii="宋体" w:hAnsi="宋体" w:eastAsia="宋体" w:cs="宋体"/>
                <w:snapToGrid w:val="0"/>
                <w:color w:val="auto"/>
                <w:sz w:val="21"/>
                <w:szCs w:val="21"/>
              </w:rPr>
              <w:t>投标保函复印件，</w:t>
            </w:r>
            <w:r>
              <w:rPr>
                <w:rFonts w:hint="eastAsia" w:ascii="宋体" w:hAnsi="宋体" w:eastAsia="宋体" w:cs="宋体"/>
                <w:snapToGrid w:val="0"/>
                <w:color w:val="auto"/>
                <w:sz w:val="21"/>
                <w:szCs w:val="21"/>
                <w:lang w:val="en-US" w:eastAsia="zh-CN"/>
              </w:rPr>
              <w:t>纸质</w:t>
            </w:r>
            <w:r>
              <w:rPr>
                <w:rFonts w:hint="eastAsia" w:ascii="宋体" w:hAnsi="宋体" w:eastAsia="宋体" w:cs="宋体"/>
                <w:snapToGrid w:val="0"/>
                <w:color w:val="auto"/>
                <w:sz w:val="21"/>
                <w:szCs w:val="21"/>
              </w:rPr>
              <w:t>投标保函原件随其他要求提供的原件一并放入原件袋中，在递交投标文件时一次性递交。退还原件袋时，</w:t>
            </w:r>
            <w:r>
              <w:rPr>
                <w:rFonts w:hint="eastAsia" w:ascii="宋体" w:hAnsi="宋体" w:eastAsia="宋体" w:cs="宋体"/>
                <w:snapToGrid w:val="0"/>
                <w:color w:val="auto"/>
                <w:sz w:val="21"/>
                <w:szCs w:val="21"/>
                <w:lang w:val="en-US" w:eastAsia="zh-CN"/>
              </w:rPr>
              <w:t>纸质</w:t>
            </w:r>
            <w:r>
              <w:rPr>
                <w:rFonts w:hint="eastAsia" w:ascii="宋体" w:hAnsi="宋体" w:eastAsia="宋体" w:cs="宋体"/>
                <w:snapToGrid w:val="0"/>
                <w:color w:val="auto"/>
                <w:sz w:val="21"/>
                <w:szCs w:val="21"/>
              </w:rPr>
              <w:t>投标保函原件不退还，由招标人保管。</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若投标截止时间延期，则纸质投标保函递交的截止时间和投标截止时间保持一致。</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不满足上述要求的纸质投标保函无效。</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 以纸质投标保函形式担保的投标保证金的金额：</w:t>
            </w:r>
            <w:r>
              <w:rPr>
                <w:rFonts w:hint="eastAsia" w:ascii="宋体" w:hAnsi="宋体" w:eastAsia="宋体" w:cs="宋体"/>
                <w:snapToGrid w:val="0"/>
                <w:color w:val="auto"/>
                <w:sz w:val="21"/>
                <w:szCs w:val="21"/>
                <w:lang w:val="en-US" w:eastAsia="zh-CN"/>
              </w:rPr>
              <w:t>4</w:t>
            </w:r>
            <w:r>
              <w:rPr>
                <w:rFonts w:hint="eastAsia" w:ascii="宋体" w:hAnsi="宋体" w:eastAsia="宋体" w:cs="宋体"/>
                <w:snapToGrid w:val="0"/>
                <w:color w:val="auto"/>
                <w:sz w:val="21"/>
                <w:szCs w:val="21"/>
              </w:rPr>
              <w:t>万元整（人民币），红名单中的投标人投标保证金金额为应缴纳金额的50%。投标人是否属于红名单，以开标环节信用状况查询结果为准。</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 投标人须在纸质投标保函</w:t>
            </w:r>
            <w:r>
              <w:rPr>
                <w:rFonts w:hint="eastAsia" w:ascii="宋体" w:hAnsi="宋体" w:eastAsia="宋体" w:cs="宋体"/>
                <w:snapToGrid w:val="0"/>
                <w:color w:val="auto"/>
                <w:sz w:val="21"/>
                <w:szCs w:val="21"/>
                <w:lang w:val="en-US" w:eastAsia="zh-CN"/>
              </w:rPr>
              <w:t>中注明</w:t>
            </w:r>
            <w:r>
              <w:rPr>
                <w:rFonts w:hint="eastAsia" w:ascii="宋体" w:hAnsi="宋体" w:eastAsia="宋体" w:cs="宋体"/>
                <w:snapToGrid w:val="0"/>
                <w:color w:val="auto"/>
                <w:sz w:val="21"/>
                <w:szCs w:val="21"/>
              </w:rPr>
              <w:t>在重庆市辖区范围内的核验</w:t>
            </w:r>
            <w:r>
              <w:rPr>
                <w:rFonts w:hint="eastAsia" w:ascii="宋体" w:hAnsi="宋体" w:eastAsia="宋体" w:cs="宋体"/>
                <w:snapToGrid w:val="0"/>
                <w:color w:val="auto"/>
                <w:sz w:val="21"/>
                <w:szCs w:val="21"/>
                <w:lang w:val="en-US" w:eastAsia="zh-CN"/>
              </w:rPr>
              <w:t>地址和核验方式，并</w:t>
            </w:r>
            <w:r>
              <w:rPr>
                <w:rFonts w:hint="eastAsia" w:ascii="宋体" w:hAnsi="宋体" w:eastAsia="宋体" w:cs="宋体"/>
                <w:snapToGrid w:val="0"/>
                <w:color w:val="auto"/>
                <w:sz w:val="21"/>
                <w:szCs w:val="21"/>
              </w:rPr>
              <w:t>确保其递交的纸质投标保函能在</w:t>
            </w:r>
            <w:r>
              <w:rPr>
                <w:rFonts w:hint="eastAsia" w:ascii="宋体" w:hAnsi="宋体" w:eastAsia="宋体" w:cs="宋体"/>
                <w:snapToGrid w:val="0"/>
                <w:color w:val="auto"/>
                <w:sz w:val="21"/>
                <w:szCs w:val="21"/>
                <w:lang w:val="en-US" w:eastAsia="zh-CN"/>
              </w:rPr>
              <w:t>开立人</w:t>
            </w:r>
            <w:r>
              <w:rPr>
                <w:rFonts w:hint="eastAsia" w:ascii="宋体" w:hAnsi="宋体" w:eastAsia="宋体" w:cs="宋体"/>
                <w:snapToGrid w:val="0"/>
                <w:color w:val="auto"/>
                <w:sz w:val="21"/>
                <w:szCs w:val="21"/>
              </w:rPr>
              <w:t>在渝</w:t>
            </w:r>
            <w:r>
              <w:rPr>
                <w:rFonts w:hint="eastAsia" w:ascii="宋体" w:hAnsi="宋体" w:eastAsia="宋体" w:cs="宋体"/>
                <w:snapToGrid w:val="0"/>
                <w:color w:val="auto"/>
                <w:sz w:val="21"/>
                <w:szCs w:val="21"/>
                <w:lang w:val="en-US" w:eastAsia="zh-CN"/>
              </w:rPr>
              <w:t>的</w:t>
            </w:r>
            <w:r>
              <w:rPr>
                <w:rFonts w:hint="eastAsia" w:ascii="宋体" w:hAnsi="宋体" w:eastAsia="宋体" w:cs="宋体"/>
                <w:snapToGrid w:val="0"/>
                <w:color w:val="auto"/>
                <w:sz w:val="21"/>
                <w:szCs w:val="21"/>
              </w:rPr>
              <w:t>总部或者分支机构</w:t>
            </w:r>
            <w:r>
              <w:rPr>
                <w:rFonts w:hint="eastAsia" w:ascii="宋体" w:hAnsi="宋体" w:eastAsia="宋体" w:cs="宋体"/>
                <w:snapToGrid w:val="0"/>
                <w:color w:val="auto"/>
                <w:sz w:val="21"/>
                <w:szCs w:val="21"/>
                <w:lang w:val="en-US" w:eastAsia="zh-CN"/>
              </w:rPr>
              <w:t>进行</w:t>
            </w:r>
            <w:r>
              <w:rPr>
                <w:rFonts w:hint="eastAsia" w:ascii="宋体" w:hAnsi="宋体" w:eastAsia="宋体" w:cs="宋体"/>
                <w:snapToGrid w:val="0"/>
                <w:color w:val="auto"/>
                <w:sz w:val="21"/>
                <w:szCs w:val="21"/>
              </w:rPr>
              <w:t>核验。</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 投标人递交的纸质投标保函原件应与投标文件中提供的纸质投标保函</w:t>
            </w:r>
            <w:r>
              <w:rPr>
                <w:rFonts w:hint="eastAsia" w:ascii="宋体" w:hAnsi="宋体" w:eastAsia="宋体" w:cs="宋体"/>
                <w:snapToGrid w:val="0"/>
                <w:color w:val="auto"/>
                <w:sz w:val="21"/>
                <w:szCs w:val="21"/>
                <w:lang w:val="en-US" w:eastAsia="zh-CN"/>
              </w:rPr>
              <w:t>复印件</w:t>
            </w:r>
            <w:r>
              <w:rPr>
                <w:rFonts w:hint="eastAsia" w:ascii="宋体" w:hAnsi="宋体" w:eastAsia="宋体" w:cs="宋体"/>
                <w:snapToGrid w:val="0"/>
                <w:color w:val="auto"/>
                <w:sz w:val="21"/>
                <w:szCs w:val="21"/>
              </w:rPr>
              <w:t>一致，否则由评标委员会作否决投标处理。</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5. 在发出中标通知书前，招标人应当对投标人（至少中标候选人或中标人）</w:t>
            </w:r>
            <w:r>
              <w:rPr>
                <w:rFonts w:hint="eastAsia" w:ascii="宋体" w:hAnsi="宋体" w:eastAsia="宋体" w:cs="宋体"/>
                <w:snapToGrid w:val="0"/>
                <w:color w:val="auto"/>
                <w:sz w:val="21"/>
                <w:szCs w:val="21"/>
                <w:lang w:val="en-US" w:eastAsia="zh-CN"/>
              </w:rPr>
              <w:t>递交</w:t>
            </w:r>
            <w:r>
              <w:rPr>
                <w:rFonts w:hint="eastAsia" w:ascii="宋体" w:hAnsi="宋体" w:eastAsia="宋体" w:cs="宋体"/>
                <w:snapToGrid w:val="0"/>
                <w:color w:val="auto"/>
                <w:sz w:val="21"/>
                <w:szCs w:val="21"/>
              </w:rPr>
              <w:t>的纸质投标保函</w:t>
            </w:r>
            <w:r>
              <w:rPr>
                <w:rFonts w:hint="eastAsia" w:ascii="宋体" w:hAnsi="宋体" w:eastAsia="宋体" w:cs="宋体"/>
                <w:snapToGrid w:val="0"/>
                <w:color w:val="auto"/>
                <w:sz w:val="21"/>
                <w:szCs w:val="21"/>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eastAsia="宋体" w:cs="宋体"/>
                <w:snapToGrid w:val="0"/>
                <w:color w:val="auto"/>
                <w:sz w:val="21"/>
                <w:szCs w:val="21"/>
              </w:rPr>
              <w:t>，对已取得中标候选人资格或中标资格的投标人，</w:t>
            </w:r>
            <w:r>
              <w:rPr>
                <w:rFonts w:hint="eastAsia" w:ascii="宋体" w:hAnsi="宋体" w:eastAsia="宋体" w:cs="宋体"/>
                <w:snapToGrid w:val="0"/>
                <w:color w:val="auto"/>
                <w:sz w:val="21"/>
                <w:szCs w:val="21"/>
                <w:lang w:val="en-US" w:eastAsia="zh-CN"/>
              </w:rPr>
              <w:t>按相关规定</w:t>
            </w:r>
            <w:r>
              <w:rPr>
                <w:rFonts w:hint="eastAsia" w:ascii="宋体" w:hAnsi="宋体" w:eastAsia="宋体" w:cs="宋体"/>
                <w:snapToGrid w:val="0"/>
                <w:color w:val="auto"/>
                <w:sz w:val="21"/>
                <w:szCs w:val="21"/>
              </w:rPr>
              <w:t>取消中标候选人资格或中标资格，给招标人造成损失的，投标人依法承担赔偿责任。</w:t>
            </w:r>
            <w:r>
              <w:rPr>
                <w:rFonts w:hint="eastAsia" w:ascii="宋体" w:hAnsi="宋体" w:eastAsia="宋体" w:cs="宋体"/>
                <w:snapToGrid w:val="0"/>
                <w:color w:val="auto"/>
                <w:sz w:val="21"/>
                <w:szCs w:val="21"/>
                <w:lang w:val="en-US" w:eastAsia="zh-CN"/>
              </w:rPr>
              <w:t>投标人提交的纸质投标</w:t>
            </w:r>
            <w:r>
              <w:rPr>
                <w:rFonts w:hint="eastAsia" w:ascii="宋体" w:hAnsi="宋体" w:eastAsia="宋体" w:cs="宋体"/>
                <w:snapToGrid w:val="0"/>
                <w:color w:val="auto"/>
                <w:sz w:val="21"/>
                <w:szCs w:val="21"/>
              </w:rPr>
              <w:t>保函涉及弄虚作假或其他违法违规</w:t>
            </w:r>
            <w:r>
              <w:rPr>
                <w:rFonts w:hint="eastAsia" w:ascii="宋体" w:hAnsi="宋体" w:eastAsia="宋体" w:cs="宋体"/>
                <w:snapToGrid w:val="0"/>
                <w:color w:val="auto"/>
                <w:sz w:val="21"/>
                <w:szCs w:val="21"/>
                <w:lang w:val="en-US" w:eastAsia="zh-CN"/>
              </w:rPr>
              <w:t>情形</w:t>
            </w:r>
            <w:r>
              <w:rPr>
                <w:rFonts w:hint="eastAsia" w:ascii="宋体" w:hAnsi="宋体" w:eastAsia="宋体" w:cs="宋体"/>
                <w:snapToGrid w:val="0"/>
                <w:color w:val="auto"/>
                <w:sz w:val="21"/>
                <w:szCs w:val="21"/>
              </w:rPr>
              <w:t>的，移送相关部门处理。</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二、纸质投标保函的退还、注销</w:t>
            </w:r>
          </w:p>
          <w:p>
            <w:pPr>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招标人应当在法定时间内确定中标人，向中标人发出中标通知书，同时向除中标候选人以外的其他投标人退还纸质投标保函并书面通知相关</w:t>
            </w:r>
            <w:r>
              <w:rPr>
                <w:rFonts w:hint="eastAsia" w:ascii="宋体" w:hAnsi="宋体" w:eastAsia="宋体" w:cs="宋体"/>
                <w:snapToGrid w:val="0"/>
                <w:color w:val="auto"/>
                <w:sz w:val="21"/>
                <w:szCs w:val="21"/>
                <w:lang w:val="en-US" w:eastAsia="zh-CN"/>
              </w:rPr>
              <w:t>金融机构</w:t>
            </w:r>
            <w:r>
              <w:rPr>
                <w:rFonts w:hint="eastAsia" w:ascii="宋体" w:hAnsi="宋体" w:eastAsia="宋体" w:cs="宋体"/>
                <w:snapToGrid w:val="0"/>
                <w:color w:val="auto"/>
                <w:sz w:val="21"/>
                <w:szCs w:val="21"/>
              </w:rPr>
              <w:t>本项目准予提前注销纸质投标保函。具体注销事宜由投标人与</w:t>
            </w:r>
            <w:r>
              <w:rPr>
                <w:rFonts w:hint="eastAsia" w:ascii="宋体" w:hAnsi="宋体" w:eastAsia="宋体" w:cs="宋体"/>
                <w:snapToGrid w:val="0"/>
                <w:color w:val="auto"/>
                <w:sz w:val="21"/>
                <w:szCs w:val="21"/>
                <w:lang w:val="en-US" w:eastAsia="zh-CN"/>
              </w:rPr>
              <w:t>金融机构</w:t>
            </w:r>
            <w:r>
              <w:rPr>
                <w:rFonts w:hint="eastAsia" w:ascii="宋体" w:hAnsi="宋体" w:eastAsia="宋体" w:cs="宋体"/>
                <w:snapToGrid w:val="0"/>
                <w:color w:val="auto"/>
                <w:sz w:val="21"/>
                <w:szCs w:val="21"/>
              </w:rPr>
              <w:t>协商。</w:t>
            </w:r>
          </w:p>
          <w:p>
            <w:pPr>
              <w:ind w:firstLine="420" w:firstLineChars="200"/>
              <w:rPr>
                <w:rFonts w:ascii="宋体" w:hAnsi="宋体" w:eastAsia="宋体" w:cs="宋体"/>
                <w:color w:val="auto"/>
                <w:sz w:val="21"/>
                <w:szCs w:val="21"/>
                <w:highlight w:val="none"/>
              </w:rPr>
            </w:pPr>
            <w:r>
              <w:rPr>
                <w:rFonts w:hint="eastAsia" w:ascii="宋体" w:hAnsi="宋体" w:eastAsia="宋体" w:cs="宋体"/>
                <w:snapToGrid w:val="0"/>
                <w:color w:val="auto"/>
                <w:sz w:val="21"/>
                <w:szCs w:val="21"/>
              </w:rPr>
              <w:t>招标人应在法定时间内和中标人签订合同，并同时书面通知相关</w:t>
            </w:r>
            <w:r>
              <w:rPr>
                <w:rFonts w:hint="eastAsia" w:ascii="宋体" w:hAnsi="宋体" w:eastAsia="宋体" w:cs="宋体"/>
                <w:snapToGrid w:val="0"/>
                <w:color w:val="auto"/>
                <w:sz w:val="21"/>
                <w:szCs w:val="21"/>
                <w:lang w:val="en-US" w:eastAsia="zh-CN"/>
              </w:rPr>
              <w:t>金融机构</w:t>
            </w:r>
            <w:r>
              <w:rPr>
                <w:rFonts w:hint="eastAsia" w:ascii="宋体" w:hAnsi="宋体" w:eastAsia="宋体" w:cs="宋体"/>
                <w:snapToGrid w:val="0"/>
                <w:color w:val="auto"/>
                <w:sz w:val="21"/>
                <w:szCs w:val="21"/>
              </w:rPr>
              <w:t>向中标人和其他中标候选人注销纸质投标保函。具体注销事宜由投标人与</w:t>
            </w:r>
            <w:r>
              <w:rPr>
                <w:rFonts w:hint="eastAsia" w:ascii="宋体" w:hAnsi="宋体" w:eastAsia="宋体" w:cs="宋体"/>
                <w:snapToGrid w:val="0"/>
                <w:color w:val="auto"/>
                <w:sz w:val="21"/>
                <w:szCs w:val="21"/>
                <w:lang w:val="en-US" w:eastAsia="zh-CN"/>
              </w:rPr>
              <w:t>金融机构</w:t>
            </w:r>
            <w:r>
              <w:rPr>
                <w:rFonts w:hint="eastAsia" w:ascii="宋体" w:hAnsi="宋体" w:eastAsia="宋体" w:cs="宋体"/>
                <w:snapToGrid w:val="0"/>
                <w:color w:val="auto"/>
                <w:sz w:val="21"/>
                <w:szCs w:val="21"/>
              </w:rPr>
              <w:t>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3.7.4</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投标文件份数</w:t>
            </w:r>
          </w:p>
        </w:tc>
        <w:tc>
          <w:tcPr>
            <w:tcW w:w="6530" w:type="dxa"/>
            <w:noWrap w:val="0"/>
            <w:vAlign w:val="center"/>
          </w:tcPr>
          <w:p>
            <w:pPr>
              <w:ind w:firstLine="420" w:firstLineChars="200"/>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投标文件正本壹份，副本贰份；副本可以为正本复印件。</w:t>
            </w:r>
          </w:p>
          <w:p>
            <w:pP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提供</w:t>
            </w:r>
            <w:r>
              <w:rPr>
                <w:rFonts w:hint="eastAsia" w:ascii="宋体" w:hAnsi="宋体" w:eastAsia="宋体" w:cs="宋体"/>
                <w:snapToGrid w:val="0"/>
                <w:color w:val="auto"/>
                <w:sz w:val="21"/>
                <w:szCs w:val="21"/>
                <w:highlight w:val="none"/>
                <w:lang w:val="en-US" w:eastAsia="zh-CN"/>
              </w:rPr>
              <w:t>与投标文件正本一致的PDF</w:t>
            </w:r>
            <w:r>
              <w:rPr>
                <w:rFonts w:hint="eastAsia" w:ascii="宋体" w:hAnsi="宋体" w:eastAsia="宋体" w:cs="宋体"/>
                <w:snapToGrid w:val="0"/>
                <w:color w:val="auto"/>
                <w:sz w:val="21"/>
                <w:szCs w:val="21"/>
                <w:highlight w:val="none"/>
              </w:rPr>
              <w:t>电子文件（</w:t>
            </w:r>
            <w:r>
              <w:rPr>
                <w:rFonts w:hint="eastAsia" w:ascii="宋体" w:hAnsi="宋体" w:eastAsia="宋体" w:cs="宋体"/>
                <w:snapToGrid w:val="0"/>
                <w:color w:val="auto"/>
                <w:sz w:val="21"/>
                <w:szCs w:val="21"/>
                <w:highlight w:val="none"/>
                <w:lang w:val="en-US" w:eastAsia="zh-CN"/>
              </w:rPr>
              <w:t>光盘或U盘</w:t>
            </w:r>
            <w:r>
              <w:rPr>
                <w:rFonts w:hint="eastAsia" w:ascii="宋体" w:hAnsi="宋体" w:eastAsia="宋体" w:cs="宋体"/>
                <w:snapToGrid w:val="0"/>
                <w:color w:val="auto"/>
                <w:sz w:val="21"/>
                <w:szCs w:val="21"/>
                <w:highlight w:val="none"/>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59" w:type="dxa"/>
            <w:tcBorders>
              <w:bottom w:val="single" w:color="auto" w:sz="4" w:space="0"/>
            </w:tcBorders>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3.7.5</w:t>
            </w:r>
          </w:p>
        </w:tc>
        <w:tc>
          <w:tcPr>
            <w:tcW w:w="1843" w:type="dxa"/>
            <w:tcBorders>
              <w:bottom w:val="single" w:color="auto" w:sz="4" w:space="0"/>
            </w:tcBorders>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装订要求</w:t>
            </w:r>
          </w:p>
        </w:tc>
        <w:tc>
          <w:tcPr>
            <w:tcW w:w="6530" w:type="dxa"/>
            <w:tcBorders>
              <w:bottom w:val="single" w:color="auto" w:sz="4" w:space="0"/>
            </w:tcBorders>
            <w:noWrap w:val="0"/>
            <w:vAlign w:val="center"/>
          </w:tcPr>
          <w:p>
            <w:pP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1、电子文件（光盘）单独装在小信封内，小信封封面上写明投标文件电子版本并加盖投标人公章（鲜章）。</w:t>
            </w:r>
          </w:p>
          <w:p>
            <w:pPr>
              <w:ind w:firstLine="420" w:firstLineChars="200"/>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2、投标文件的装订</w:t>
            </w:r>
          </w:p>
          <w:p>
            <w:pPr>
              <w:ind w:firstLine="420" w:firstLineChars="200"/>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（1）投标文件内容按以下顺序装订（可装订成一册，也可分别装订成册）：</w:t>
            </w:r>
          </w:p>
          <w:p>
            <w:pP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A、投标函部分</w:t>
            </w:r>
          </w:p>
          <w:p>
            <w:pP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B、资格审查资料</w:t>
            </w:r>
          </w:p>
          <w:p>
            <w:pPr>
              <w:rPr>
                <w:rFonts w:hint="default"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 xml:space="preserve">    </w:t>
            </w:r>
            <w:r>
              <w:rPr>
                <w:rFonts w:hint="eastAsia" w:ascii="宋体" w:hAnsi="宋体" w:eastAsia="宋体" w:cs="宋体"/>
                <w:snapToGrid w:val="0"/>
                <w:color w:val="auto"/>
                <w:sz w:val="21"/>
                <w:szCs w:val="21"/>
                <w:highlight w:val="none"/>
                <w:lang w:val="en-US" w:eastAsia="zh-CN"/>
              </w:rPr>
              <w:t>C、商务部分</w:t>
            </w:r>
          </w:p>
          <w:p>
            <w:pPr>
              <w:ind w:firstLine="420" w:firstLineChars="200"/>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D</w:t>
            </w:r>
            <w:r>
              <w:rPr>
                <w:rFonts w:hint="eastAsia" w:ascii="宋体" w:hAnsi="宋体" w:eastAsia="宋体" w:cs="宋体"/>
                <w:snapToGrid w:val="0"/>
                <w:color w:val="auto"/>
                <w:sz w:val="21"/>
                <w:szCs w:val="21"/>
                <w:highlight w:val="none"/>
              </w:rPr>
              <w:t>、技术部分</w:t>
            </w:r>
          </w:p>
          <w:p>
            <w:pPr>
              <w:numPr>
                <w:ilvl w:val="0"/>
                <w:numId w:val="2"/>
              </w:numPr>
              <w:ind w:firstLine="420" w:firstLineChars="200"/>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投标文件须装订成册，并应编制目录。</w:t>
            </w:r>
          </w:p>
          <w:p>
            <w:pPr>
              <w:ind w:firstLine="420" w:firstLineChars="200"/>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（3）招标文件中已提供了投标文件格式的部分，须按其格式填写和提供；未提供格式的部分，投标人自拟格式填写提供。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4.1.1</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投标文件的密封</w:t>
            </w:r>
          </w:p>
        </w:tc>
        <w:tc>
          <w:tcPr>
            <w:tcW w:w="6530" w:type="dxa"/>
            <w:noWrap w:val="0"/>
            <w:vAlign w:val="center"/>
          </w:tcPr>
          <w:p>
            <w:pP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1、投标文件正本、副本和电子文件统一装入</w:t>
            </w:r>
            <w:r>
              <w:rPr>
                <w:rFonts w:hint="eastAsia" w:ascii="宋体" w:hAnsi="宋体" w:eastAsia="宋体" w:cs="宋体"/>
                <w:snapToGrid w:val="0"/>
                <w:color w:val="auto"/>
                <w:sz w:val="21"/>
                <w:szCs w:val="21"/>
                <w:highlight w:val="none"/>
                <w:lang w:val="en-US" w:eastAsia="zh-CN"/>
              </w:rPr>
              <w:t>一个</w:t>
            </w:r>
            <w:r>
              <w:rPr>
                <w:rFonts w:hint="eastAsia" w:ascii="宋体" w:hAnsi="宋体" w:eastAsia="宋体" w:cs="宋体"/>
                <w:snapToGrid w:val="0"/>
                <w:color w:val="auto"/>
                <w:sz w:val="21"/>
                <w:szCs w:val="21"/>
                <w:highlight w:val="none"/>
              </w:rPr>
              <w:t>“投标文件”大袋中，一个大袋装不下的，可使用多个大袋分册封装</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rPr>
              <w:t>再密封并在大袋上按本表第4.1.2项的规定写明相应内容。加盖投标人单位公章（鲜章）。</w:t>
            </w:r>
          </w:p>
          <w:p>
            <w:pP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、如果投标文件没有按上述规定密封，招标人或代理机构应该拒收。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8"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4.1.2</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封套上写明</w:t>
            </w:r>
          </w:p>
        </w:tc>
        <w:tc>
          <w:tcPr>
            <w:tcW w:w="6530" w:type="dxa"/>
            <w:noWrap w:val="0"/>
            <w:vAlign w:val="center"/>
          </w:tcPr>
          <w:p>
            <w:pPr>
              <w:ind w:firstLine="420" w:firstLineChars="200"/>
              <w:rPr>
                <w:rFonts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招标人名称：</w:t>
            </w:r>
            <w:r>
              <w:rPr>
                <w:rFonts w:hint="eastAsia" w:ascii="宋体" w:hAnsi="宋体" w:eastAsia="宋体" w:cs="宋体"/>
                <w:snapToGrid w:val="0"/>
                <w:color w:val="auto"/>
                <w:sz w:val="21"/>
                <w:szCs w:val="21"/>
                <w:highlight w:val="none"/>
                <w:u w:val="single"/>
              </w:rPr>
              <w:t xml:space="preserve">                            </w:t>
            </w:r>
          </w:p>
          <w:p>
            <w:pPr>
              <w:ind w:firstLine="420" w:firstLineChars="200"/>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投标人名称：</w:t>
            </w:r>
            <w:r>
              <w:rPr>
                <w:rFonts w:hint="eastAsia" w:ascii="宋体" w:hAnsi="宋体" w:eastAsia="宋体" w:cs="宋体"/>
                <w:snapToGrid w:val="0"/>
                <w:color w:val="auto"/>
                <w:sz w:val="21"/>
                <w:szCs w:val="21"/>
                <w:highlight w:val="none"/>
                <w:u w:val="single"/>
              </w:rPr>
              <w:t xml:space="preserve">                            </w:t>
            </w:r>
          </w:p>
          <w:p>
            <w:pPr>
              <w:ind w:firstLine="420" w:firstLineChars="200"/>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u w:val="single"/>
              </w:rPr>
              <w:t xml:space="preserve">        （项目名称）             </w:t>
            </w:r>
            <w:r>
              <w:rPr>
                <w:rFonts w:hint="eastAsia" w:ascii="宋体" w:hAnsi="宋体" w:eastAsia="宋体" w:cs="宋体"/>
                <w:snapToGrid w:val="0"/>
                <w:color w:val="auto"/>
                <w:sz w:val="21"/>
                <w:szCs w:val="21"/>
                <w:highlight w:val="none"/>
              </w:rPr>
              <w:t>投标文件</w:t>
            </w:r>
          </w:p>
          <w:p>
            <w:pPr>
              <w:ind w:firstLine="420" w:firstLineChars="200"/>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在</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年</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月</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日</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时</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分（投标截止时间）之前不得拆封。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4.2.2</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递交投标文件时间和地点</w:t>
            </w:r>
          </w:p>
        </w:tc>
        <w:tc>
          <w:tcPr>
            <w:tcW w:w="6530" w:type="dxa"/>
            <w:noWrap w:val="0"/>
            <w:vAlign w:val="center"/>
          </w:tcPr>
          <w:p>
            <w:pPr>
              <w:snapToGrid w:val="0"/>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递交时间：</w:t>
            </w:r>
            <w:r>
              <w:rPr>
                <w:rFonts w:hint="eastAsia" w:ascii="宋体" w:hAnsi="宋体" w:eastAsia="宋体" w:cs="宋体"/>
                <w:color w:val="auto"/>
                <w:kern w:val="0"/>
                <w:sz w:val="21"/>
                <w:szCs w:val="21"/>
                <w:highlight w:val="none"/>
                <w:u w:val="none"/>
              </w:rPr>
              <w:t>20</w:t>
            </w:r>
            <w:r>
              <w:rPr>
                <w:rFonts w:ascii="宋体" w:hAnsi="宋体" w:eastAsia="宋体" w:cs="宋体"/>
                <w:color w:val="auto"/>
                <w:kern w:val="0"/>
                <w:sz w:val="21"/>
                <w:szCs w:val="21"/>
                <w:highlight w:val="none"/>
                <w:u w:val="none"/>
              </w:rPr>
              <w:t>2</w:t>
            </w:r>
            <w:r>
              <w:rPr>
                <w:rFonts w:hint="eastAsia" w:ascii="宋体" w:hAnsi="宋体" w:eastAsia="宋体" w:cs="宋体"/>
                <w:color w:val="auto"/>
                <w:kern w:val="0"/>
                <w:sz w:val="21"/>
                <w:szCs w:val="21"/>
                <w:highlight w:val="none"/>
                <w:u w:val="none"/>
                <w:lang w:val="en-US" w:eastAsia="zh-CN"/>
              </w:rPr>
              <w:t>3</w:t>
            </w:r>
            <w:r>
              <w:rPr>
                <w:rFonts w:hint="eastAsia" w:ascii="宋体" w:hAnsi="宋体" w:eastAsia="宋体" w:cs="宋体"/>
                <w:color w:val="auto"/>
                <w:kern w:val="0"/>
                <w:sz w:val="21"/>
                <w:szCs w:val="21"/>
                <w:highlight w:val="none"/>
                <w:u w:val="none"/>
              </w:rPr>
              <w:t>年</w:t>
            </w:r>
            <w:r>
              <w:rPr>
                <w:rFonts w:hint="eastAsia" w:ascii="宋体" w:hAnsi="宋体" w:eastAsia="宋体" w:cs="宋体"/>
                <w:color w:val="auto"/>
                <w:kern w:val="0"/>
                <w:sz w:val="21"/>
                <w:szCs w:val="21"/>
                <w:highlight w:val="none"/>
                <w:u w:val="none"/>
                <w:lang w:val="en-US" w:eastAsia="zh-CN"/>
              </w:rPr>
              <w:t>9</w:t>
            </w:r>
            <w:r>
              <w:rPr>
                <w:rFonts w:hint="eastAsia" w:ascii="宋体" w:hAnsi="宋体" w:eastAsia="宋体" w:cs="宋体"/>
                <w:color w:val="auto"/>
                <w:kern w:val="0"/>
                <w:sz w:val="21"/>
                <w:szCs w:val="21"/>
                <w:highlight w:val="none"/>
                <w:u w:val="none"/>
              </w:rPr>
              <w:t>月</w:t>
            </w:r>
            <w:r>
              <w:rPr>
                <w:rFonts w:hint="eastAsia" w:ascii="宋体" w:hAnsi="宋体" w:eastAsia="宋体" w:cs="宋体"/>
                <w:color w:val="auto"/>
                <w:kern w:val="0"/>
                <w:sz w:val="21"/>
                <w:szCs w:val="21"/>
                <w:highlight w:val="none"/>
                <w:u w:val="none"/>
                <w:lang w:val="en-US" w:eastAsia="zh-CN"/>
              </w:rPr>
              <w:t>15</w:t>
            </w:r>
            <w:r>
              <w:rPr>
                <w:rFonts w:hint="eastAsia" w:ascii="宋体" w:hAnsi="宋体" w:eastAsia="宋体" w:cs="宋体"/>
                <w:color w:val="auto"/>
                <w:kern w:val="0"/>
                <w:sz w:val="21"/>
                <w:szCs w:val="21"/>
                <w:highlight w:val="none"/>
                <w:u w:val="none"/>
              </w:rPr>
              <w:t>日</w:t>
            </w:r>
            <w:r>
              <w:rPr>
                <w:rFonts w:hint="eastAsia" w:ascii="宋体" w:hAnsi="宋体" w:eastAsia="宋体" w:cs="宋体"/>
                <w:color w:val="auto"/>
                <w:kern w:val="0"/>
                <w:sz w:val="21"/>
                <w:szCs w:val="21"/>
                <w:highlight w:val="none"/>
                <w:u w:val="none"/>
                <w:lang w:val="en-US" w:eastAsia="zh-CN"/>
              </w:rPr>
              <w:t>10</w:t>
            </w:r>
            <w:r>
              <w:rPr>
                <w:rFonts w:hint="eastAsia" w:ascii="宋体" w:hAnsi="宋体" w:eastAsia="宋体" w:cs="宋体"/>
                <w:color w:val="auto"/>
                <w:kern w:val="0"/>
                <w:sz w:val="21"/>
                <w:szCs w:val="21"/>
                <w:highlight w:val="none"/>
                <w:u w:val="none"/>
              </w:rPr>
              <w:t>时</w:t>
            </w:r>
            <w:r>
              <w:rPr>
                <w:rFonts w:hint="eastAsia" w:ascii="宋体" w:hAnsi="宋体" w:eastAsia="宋体" w:cs="宋体"/>
                <w:color w:val="auto"/>
                <w:kern w:val="0"/>
                <w:sz w:val="21"/>
                <w:szCs w:val="21"/>
                <w:highlight w:val="none"/>
                <w:u w:val="none"/>
                <w:lang w:val="en-US" w:eastAsia="zh-CN"/>
              </w:rPr>
              <w:t>30</w:t>
            </w:r>
            <w:r>
              <w:rPr>
                <w:rFonts w:hint="eastAsia" w:ascii="宋体" w:hAnsi="宋体" w:eastAsia="宋体" w:cs="宋体"/>
                <w:color w:val="auto"/>
                <w:kern w:val="0"/>
                <w:sz w:val="21"/>
                <w:szCs w:val="21"/>
                <w:highlight w:val="none"/>
                <w:u w:val="none"/>
              </w:rPr>
              <w:t>分至20</w:t>
            </w:r>
            <w:r>
              <w:rPr>
                <w:rFonts w:ascii="宋体" w:hAnsi="宋体" w:eastAsia="宋体" w:cs="宋体"/>
                <w:color w:val="auto"/>
                <w:kern w:val="0"/>
                <w:sz w:val="21"/>
                <w:szCs w:val="21"/>
                <w:highlight w:val="none"/>
                <w:u w:val="none"/>
              </w:rPr>
              <w:t>2</w:t>
            </w:r>
            <w:r>
              <w:rPr>
                <w:rFonts w:hint="eastAsia" w:ascii="宋体" w:hAnsi="宋体" w:eastAsia="宋体" w:cs="宋体"/>
                <w:color w:val="auto"/>
                <w:kern w:val="0"/>
                <w:sz w:val="21"/>
                <w:szCs w:val="21"/>
                <w:highlight w:val="none"/>
                <w:u w:val="none"/>
                <w:lang w:val="en-US" w:eastAsia="zh-CN"/>
              </w:rPr>
              <w:t>3</w:t>
            </w:r>
            <w:r>
              <w:rPr>
                <w:rFonts w:hint="eastAsia" w:ascii="宋体" w:hAnsi="宋体" w:eastAsia="宋体" w:cs="宋体"/>
                <w:color w:val="auto"/>
                <w:kern w:val="0"/>
                <w:sz w:val="21"/>
                <w:szCs w:val="21"/>
                <w:highlight w:val="none"/>
                <w:u w:val="none"/>
              </w:rPr>
              <w:t>年</w:t>
            </w:r>
            <w:r>
              <w:rPr>
                <w:rFonts w:hint="eastAsia" w:ascii="宋体" w:hAnsi="宋体" w:eastAsia="宋体" w:cs="宋体"/>
                <w:color w:val="auto"/>
                <w:kern w:val="0"/>
                <w:sz w:val="21"/>
                <w:szCs w:val="21"/>
                <w:highlight w:val="none"/>
                <w:u w:val="none"/>
                <w:lang w:val="en-US" w:eastAsia="zh-CN"/>
              </w:rPr>
              <w:t>9</w:t>
            </w:r>
            <w:r>
              <w:rPr>
                <w:rFonts w:hint="eastAsia" w:ascii="宋体" w:hAnsi="宋体" w:eastAsia="宋体" w:cs="宋体"/>
                <w:color w:val="auto"/>
                <w:kern w:val="0"/>
                <w:sz w:val="21"/>
                <w:szCs w:val="21"/>
                <w:highlight w:val="none"/>
                <w:u w:val="none"/>
              </w:rPr>
              <w:t>月</w:t>
            </w:r>
            <w:r>
              <w:rPr>
                <w:rFonts w:hint="eastAsia" w:ascii="宋体" w:hAnsi="宋体" w:eastAsia="宋体" w:cs="宋体"/>
                <w:color w:val="auto"/>
                <w:kern w:val="0"/>
                <w:sz w:val="21"/>
                <w:szCs w:val="21"/>
                <w:highlight w:val="none"/>
                <w:u w:val="none"/>
                <w:lang w:val="en-US" w:eastAsia="zh-CN"/>
              </w:rPr>
              <w:t>15</w:t>
            </w:r>
            <w:r>
              <w:rPr>
                <w:rFonts w:hint="eastAsia" w:ascii="宋体" w:hAnsi="宋体" w:eastAsia="宋体" w:cs="宋体"/>
                <w:color w:val="auto"/>
                <w:kern w:val="0"/>
                <w:sz w:val="21"/>
                <w:szCs w:val="21"/>
                <w:highlight w:val="none"/>
                <w:u w:val="none"/>
              </w:rPr>
              <w:t>日</w:t>
            </w:r>
            <w:r>
              <w:rPr>
                <w:rFonts w:hint="eastAsia" w:ascii="宋体" w:hAnsi="宋体" w:eastAsia="宋体" w:cs="宋体"/>
                <w:color w:val="auto"/>
                <w:kern w:val="0"/>
                <w:sz w:val="21"/>
                <w:szCs w:val="21"/>
                <w:highlight w:val="none"/>
                <w:u w:val="none"/>
                <w:lang w:val="en-US" w:eastAsia="zh-CN"/>
              </w:rPr>
              <w:t>11</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kern w:val="0"/>
                <w:sz w:val="21"/>
                <w:szCs w:val="21"/>
                <w:highlight w:val="none"/>
                <w:u w:val="none"/>
              </w:rPr>
              <w:t>分</w:t>
            </w:r>
            <w:r>
              <w:rPr>
                <w:rFonts w:hint="eastAsia" w:ascii="宋体" w:hAnsi="宋体" w:eastAsia="宋体" w:cs="宋体"/>
                <w:color w:val="auto"/>
                <w:kern w:val="0"/>
                <w:sz w:val="21"/>
                <w:szCs w:val="21"/>
                <w:highlight w:val="none"/>
              </w:rPr>
              <w:t>（北京时间）</w:t>
            </w:r>
          </w:p>
          <w:p>
            <w:pPr>
              <w:snapToGrid w:val="0"/>
              <w:ind w:left="240" w:leftChars="100" w:firstLine="210" w:firstLineChars="1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投标截止时间:</w:t>
            </w:r>
            <w:r>
              <w:rPr>
                <w:rFonts w:hint="eastAsia" w:ascii="宋体" w:hAnsi="宋体" w:eastAsia="宋体" w:cs="宋体"/>
                <w:color w:val="auto"/>
                <w:kern w:val="0"/>
                <w:sz w:val="21"/>
                <w:szCs w:val="21"/>
                <w:highlight w:val="none"/>
                <w:u w:val="none"/>
              </w:rPr>
              <w:t>20</w:t>
            </w:r>
            <w:r>
              <w:rPr>
                <w:rFonts w:ascii="宋体" w:hAnsi="宋体" w:eastAsia="宋体" w:cs="宋体"/>
                <w:color w:val="auto"/>
                <w:kern w:val="0"/>
                <w:sz w:val="21"/>
                <w:szCs w:val="21"/>
                <w:highlight w:val="none"/>
                <w:u w:val="none"/>
              </w:rPr>
              <w:t>2</w:t>
            </w:r>
            <w:r>
              <w:rPr>
                <w:rFonts w:hint="eastAsia" w:ascii="宋体" w:hAnsi="宋体" w:eastAsia="宋体" w:cs="宋体"/>
                <w:color w:val="auto"/>
                <w:kern w:val="0"/>
                <w:sz w:val="21"/>
                <w:szCs w:val="21"/>
                <w:highlight w:val="none"/>
                <w:u w:val="none"/>
                <w:lang w:val="en-US" w:eastAsia="zh-CN"/>
              </w:rPr>
              <w:t>3</w:t>
            </w:r>
            <w:r>
              <w:rPr>
                <w:rFonts w:hint="eastAsia" w:ascii="宋体" w:hAnsi="宋体" w:eastAsia="宋体" w:cs="宋体"/>
                <w:color w:val="auto"/>
                <w:kern w:val="0"/>
                <w:sz w:val="21"/>
                <w:szCs w:val="21"/>
                <w:highlight w:val="none"/>
                <w:u w:val="none"/>
              </w:rPr>
              <w:t>年</w:t>
            </w:r>
            <w:r>
              <w:rPr>
                <w:rFonts w:hint="eastAsia" w:ascii="宋体" w:hAnsi="宋体" w:eastAsia="宋体" w:cs="宋体"/>
                <w:color w:val="auto"/>
                <w:kern w:val="0"/>
                <w:sz w:val="21"/>
                <w:szCs w:val="21"/>
                <w:highlight w:val="none"/>
                <w:u w:val="none"/>
                <w:lang w:val="en-US" w:eastAsia="zh-CN"/>
              </w:rPr>
              <w:t>9</w:t>
            </w:r>
            <w:r>
              <w:rPr>
                <w:rFonts w:hint="eastAsia" w:ascii="宋体" w:hAnsi="宋体" w:eastAsia="宋体" w:cs="宋体"/>
                <w:color w:val="auto"/>
                <w:kern w:val="0"/>
                <w:sz w:val="21"/>
                <w:szCs w:val="21"/>
                <w:highlight w:val="none"/>
                <w:u w:val="none"/>
              </w:rPr>
              <w:t>月</w:t>
            </w:r>
            <w:r>
              <w:rPr>
                <w:rFonts w:hint="eastAsia" w:ascii="宋体" w:hAnsi="宋体" w:eastAsia="宋体" w:cs="宋体"/>
                <w:color w:val="auto"/>
                <w:kern w:val="0"/>
                <w:sz w:val="21"/>
                <w:szCs w:val="21"/>
                <w:highlight w:val="none"/>
                <w:u w:val="none"/>
                <w:lang w:val="en-US" w:eastAsia="zh-CN"/>
              </w:rPr>
              <w:t>15</w:t>
            </w:r>
            <w:r>
              <w:rPr>
                <w:rFonts w:hint="eastAsia" w:ascii="宋体" w:hAnsi="宋体" w:eastAsia="宋体" w:cs="宋体"/>
                <w:color w:val="auto"/>
                <w:kern w:val="0"/>
                <w:sz w:val="21"/>
                <w:szCs w:val="21"/>
                <w:highlight w:val="none"/>
                <w:u w:val="none"/>
              </w:rPr>
              <w:t>日</w:t>
            </w:r>
            <w:r>
              <w:rPr>
                <w:rFonts w:hint="eastAsia" w:ascii="宋体" w:hAnsi="宋体" w:eastAsia="宋体" w:cs="宋体"/>
                <w:color w:val="auto"/>
                <w:kern w:val="0"/>
                <w:sz w:val="21"/>
                <w:szCs w:val="21"/>
                <w:highlight w:val="none"/>
                <w:u w:val="none"/>
                <w:lang w:val="en-US" w:eastAsia="zh-CN"/>
              </w:rPr>
              <w:t>11</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kern w:val="0"/>
                <w:sz w:val="21"/>
                <w:szCs w:val="21"/>
                <w:highlight w:val="none"/>
                <w:u w:val="none"/>
              </w:rPr>
              <w:t>分（</w:t>
            </w:r>
            <w:r>
              <w:rPr>
                <w:rFonts w:hint="eastAsia" w:ascii="宋体" w:hAnsi="宋体" w:eastAsia="宋体" w:cs="宋体"/>
                <w:color w:val="auto"/>
                <w:kern w:val="0"/>
                <w:sz w:val="21"/>
                <w:szCs w:val="21"/>
                <w:highlight w:val="none"/>
              </w:rPr>
              <w:t>北京时间）</w:t>
            </w:r>
          </w:p>
          <w:p>
            <w:pPr>
              <w:snapToGrid w:val="0"/>
              <w:ind w:left="240" w:leftChars="100" w:firstLine="210" w:firstLineChars="100"/>
              <w:rPr>
                <w:rFonts w:ascii="宋体" w:hAnsi="宋体" w:eastAsia="宋体" w:cs="宋体"/>
                <w:snapToGrid w:val="0"/>
                <w:color w:val="auto"/>
                <w:sz w:val="21"/>
                <w:szCs w:val="21"/>
                <w:highlight w:val="none"/>
              </w:rPr>
            </w:pPr>
            <w:r>
              <w:rPr>
                <w:rFonts w:hint="eastAsia" w:ascii="宋体" w:hAnsi="宋体" w:eastAsia="宋体" w:cs="宋体"/>
                <w:color w:val="auto"/>
                <w:kern w:val="0"/>
                <w:sz w:val="21"/>
                <w:szCs w:val="21"/>
                <w:highlight w:val="none"/>
              </w:rPr>
              <w:t>递交地点：重庆市公共资源交易中心（地址：重庆市渝北区青枫北路6号渝兴广场B10栋2层，具体详见开标当天交易中心大厅电子显示屏）。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5.1</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开标时间和地点</w:t>
            </w:r>
          </w:p>
        </w:tc>
        <w:tc>
          <w:tcPr>
            <w:tcW w:w="6530" w:type="dxa"/>
            <w:noWrap w:val="0"/>
            <w:vAlign w:val="center"/>
          </w:tcPr>
          <w:p>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开标时间：20</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kern w:val="0"/>
                <w:sz w:val="21"/>
                <w:szCs w:val="21"/>
                <w:highlight w:val="none"/>
                <w:u w:val="none"/>
                <w:lang w:val="en-US" w:eastAsia="zh-CN"/>
              </w:rPr>
              <w:t>9</w:t>
            </w:r>
            <w:r>
              <w:rPr>
                <w:rFonts w:hint="eastAsia" w:ascii="宋体" w:hAnsi="宋体" w:eastAsia="宋体" w:cs="宋体"/>
                <w:color w:val="auto"/>
                <w:kern w:val="0"/>
                <w:sz w:val="21"/>
                <w:szCs w:val="21"/>
                <w:highlight w:val="none"/>
                <w:u w:val="none"/>
              </w:rPr>
              <w:t>月</w:t>
            </w:r>
            <w:r>
              <w:rPr>
                <w:rFonts w:hint="eastAsia" w:ascii="宋体" w:hAnsi="宋体" w:eastAsia="宋体" w:cs="宋体"/>
                <w:color w:val="auto"/>
                <w:kern w:val="0"/>
                <w:sz w:val="21"/>
                <w:szCs w:val="21"/>
                <w:highlight w:val="none"/>
                <w:u w:val="none"/>
                <w:lang w:val="en-US" w:eastAsia="zh-CN"/>
              </w:rPr>
              <w:t>15</w:t>
            </w:r>
            <w:r>
              <w:rPr>
                <w:rFonts w:hint="eastAsia" w:ascii="宋体" w:hAnsi="宋体" w:eastAsia="宋体" w:cs="宋体"/>
                <w:color w:val="auto"/>
                <w:kern w:val="0"/>
                <w:sz w:val="21"/>
                <w:szCs w:val="21"/>
                <w:highlight w:val="none"/>
                <w:u w:val="none"/>
              </w:rPr>
              <w:t>日</w:t>
            </w:r>
            <w:r>
              <w:rPr>
                <w:rFonts w:hint="eastAsia" w:ascii="宋体" w:hAnsi="宋体" w:eastAsia="宋体" w:cs="宋体"/>
                <w:color w:val="auto"/>
                <w:kern w:val="0"/>
                <w:sz w:val="21"/>
                <w:szCs w:val="21"/>
                <w:highlight w:val="none"/>
                <w:u w:val="none"/>
                <w:lang w:val="en-US" w:eastAsia="zh-CN"/>
              </w:rPr>
              <w:t>11</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rPr>
              <w:t xml:space="preserve">分 </w:t>
            </w:r>
          </w:p>
          <w:p>
            <w:pPr>
              <w:ind w:firstLine="420" w:firstLineChars="200"/>
              <w:rPr>
                <w:rFonts w:ascii="宋体" w:hAnsi="宋体" w:eastAsia="宋体" w:cs="宋体"/>
                <w:snapToGrid w:val="0"/>
                <w:color w:val="auto"/>
                <w:sz w:val="21"/>
                <w:szCs w:val="21"/>
                <w:highlight w:val="none"/>
                <w:u w:val="single"/>
              </w:rPr>
            </w:pPr>
            <w:r>
              <w:rPr>
                <w:rFonts w:hint="eastAsia" w:ascii="宋体" w:hAnsi="宋体" w:eastAsia="宋体" w:cs="宋体"/>
                <w:color w:val="auto"/>
                <w:sz w:val="21"/>
                <w:szCs w:val="21"/>
                <w:highlight w:val="none"/>
              </w:rPr>
              <w:t>开标地点：</w:t>
            </w:r>
            <w:r>
              <w:rPr>
                <w:rFonts w:hint="eastAsia" w:ascii="宋体" w:hAnsi="宋体" w:eastAsia="宋体" w:cs="宋体"/>
                <w:color w:val="auto"/>
                <w:kern w:val="0"/>
                <w:sz w:val="21"/>
                <w:szCs w:val="21"/>
                <w:highlight w:val="none"/>
              </w:rPr>
              <w:t>重庆市公共资源交易中心（地址：重庆市渝北区青枫北路6号渝兴广场B10栋2层，具体详见开标当天交易中心大厅电子显示屏）。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5.2</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开标程序</w:t>
            </w:r>
          </w:p>
        </w:tc>
        <w:tc>
          <w:tcPr>
            <w:tcW w:w="6530" w:type="dxa"/>
            <w:noWrap w:val="0"/>
            <w:vAlign w:val="center"/>
          </w:tcPr>
          <w:p>
            <w:pPr>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主持人按下列程序进行开标：</w:t>
            </w:r>
          </w:p>
          <w:p>
            <w:pPr>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 招标人在规定的投标截止时间（开标时间）和投标人须知前附表规定的地点公开开标，并邀请所有投标人的法定代表人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sz w:val="21"/>
                <w:szCs w:val="21"/>
                <w:highlight w:val="none"/>
              </w:rPr>
              <w:t>或其委托代理人准时参加。投标人的法定代表人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sz w:val="21"/>
                <w:szCs w:val="21"/>
                <w:highlight w:val="none"/>
              </w:rPr>
              <w:t>或其委托代理人未参加开标会的，视为默认开标结果。</w:t>
            </w:r>
          </w:p>
          <w:p>
            <w:pPr>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 宣布开标纪律。</w:t>
            </w:r>
          </w:p>
          <w:p>
            <w:pPr>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 宣布开标人、唱标人、记录人、监标人等有关人员姓名。</w:t>
            </w:r>
          </w:p>
          <w:p>
            <w:pPr>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 公布在投标截止时间前递交投标文件的投标人名称。</w:t>
            </w:r>
          </w:p>
          <w:p>
            <w:pPr>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 投标文件的密封检查：投标人可对自己的投标文件封装情况进行检查，以确认其投标文件密封完好。</w:t>
            </w:r>
          </w:p>
          <w:p>
            <w:pPr>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6. 汇总投标保证金交纳情况</w:t>
            </w:r>
          </w:p>
          <w:p>
            <w:pPr>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.1 展示以</w:t>
            </w:r>
            <w:r>
              <w:rPr>
                <w:rFonts w:hint="eastAsia" w:ascii="宋体" w:hAnsi="宋体" w:eastAsia="宋体" w:cs="宋体"/>
                <w:snapToGrid w:val="0"/>
                <w:color w:val="auto"/>
                <w:sz w:val="21"/>
                <w:szCs w:val="21"/>
                <w:highlight w:val="none"/>
                <w:lang w:val="en-US" w:eastAsia="zh-CN"/>
              </w:rPr>
              <w:t>电子</w:t>
            </w:r>
            <w:r>
              <w:rPr>
                <w:rFonts w:hint="eastAsia" w:ascii="宋体" w:hAnsi="宋体" w:eastAsia="宋体" w:cs="宋体"/>
                <w:snapToGrid w:val="0"/>
                <w:color w:val="auto"/>
                <w:sz w:val="21"/>
                <w:szCs w:val="21"/>
                <w:highlight w:val="none"/>
              </w:rPr>
              <w:t>投标保函方式递交投标保证金的保证金交纳</w:t>
            </w:r>
            <w:r>
              <w:rPr>
                <w:rFonts w:hint="eastAsia" w:ascii="宋体" w:hAnsi="宋体" w:eastAsia="宋体" w:cs="宋体"/>
                <w:snapToGrid w:val="0"/>
                <w:color w:val="auto"/>
                <w:sz w:val="21"/>
                <w:szCs w:val="21"/>
                <w:highlight w:val="none"/>
                <w:lang w:val="en-US" w:eastAsia="zh-CN"/>
              </w:rPr>
              <w:t>情况</w:t>
            </w:r>
            <w:r>
              <w:rPr>
                <w:rFonts w:hint="eastAsia" w:ascii="宋体" w:hAnsi="宋体" w:eastAsia="宋体" w:cs="宋体"/>
                <w:snapToGrid w:val="0"/>
                <w:color w:val="auto"/>
                <w:sz w:val="21"/>
                <w:szCs w:val="21"/>
                <w:highlight w:val="none"/>
              </w:rPr>
              <w:t>，应至少包含投标人名称、金额、投标保函提交时间等。电子投标保函应在投标截止时间前提交至指定系统，异常情况在开标记录表</w:t>
            </w:r>
            <w:r>
              <w:rPr>
                <w:rFonts w:hint="eastAsia" w:ascii="宋体" w:hAnsi="宋体" w:eastAsia="宋体" w:cs="宋体"/>
                <w:snapToGrid w:val="0"/>
                <w:color w:val="auto"/>
                <w:sz w:val="21"/>
                <w:szCs w:val="21"/>
                <w:highlight w:val="none"/>
                <w:lang w:val="en-US" w:eastAsia="zh-CN"/>
              </w:rPr>
              <w:t>“备注”栏中</w:t>
            </w:r>
            <w:r>
              <w:rPr>
                <w:rFonts w:hint="eastAsia" w:ascii="宋体" w:hAnsi="宋体" w:eastAsia="宋体" w:cs="宋体"/>
                <w:snapToGrid w:val="0"/>
                <w:color w:val="auto"/>
                <w:sz w:val="21"/>
                <w:szCs w:val="21"/>
                <w:highlight w:val="none"/>
              </w:rPr>
              <w:t>记录并交由评标委员会评审。</w:t>
            </w:r>
          </w:p>
          <w:p>
            <w:pPr>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.2 展示以电子转账方式递交投标保证金的保证金交纳</w:t>
            </w:r>
            <w:r>
              <w:rPr>
                <w:rFonts w:hint="eastAsia" w:ascii="宋体" w:hAnsi="宋体" w:eastAsia="宋体" w:cs="宋体"/>
                <w:snapToGrid w:val="0"/>
                <w:color w:val="auto"/>
                <w:sz w:val="21"/>
                <w:szCs w:val="21"/>
                <w:highlight w:val="none"/>
                <w:lang w:val="en-US" w:eastAsia="zh-CN"/>
              </w:rPr>
              <w:t>情况</w:t>
            </w:r>
            <w:r>
              <w:rPr>
                <w:rFonts w:hint="eastAsia" w:ascii="宋体" w:hAnsi="宋体" w:eastAsia="宋体" w:cs="宋体"/>
                <w:snapToGrid w:val="0"/>
                <w:color w:val="auto"/>
                <w:sz w:val="21"/>
                <w:szCs w:val="21"/>
                <w:highlight w:val="none"/>
              </w:rPr>
              <w:t>，应至少包含投标人名称、金额、投标保证金打入指定账户的时间等，异常情况在开标记录表</w:t>
            </w:r>
            <w:r>
              <w:rPr>
                <w:rFonts w:hint="eastAsia" w:ascii="宋体" w:hAnsi="宋体" w:eastAsia="宋体" w:cs="宋体"/>
                <w:snapToGrid w:val="0"/>
                <w:color w:val="auto"/>
                <w:sz w:val="21"/>
                <w:szCs w:val="21"/>
                <w:highlight w:val="none"/>
                <w:lang w:val="en-US" w:eastAsia="zh-CN"/>
              </w:rPr>
              <w:t>“备注”栏中</w:t>
            </w:r>
            <w:r>
              <w:rPr>
                <w:rFonts w:hint="eastAsia" w:ascii="宋体" w:hAnsi="宋体" w:eastAsia="宋体" w:cs="宋体"/>
                <w:snapToGrid w:val="0"/>
                <w:color w:val="auto"/>
                <w:sz w:val="21"/>
                <w:szCs w:val="21"/>
                <w:highlight w:val="none"/>
              </w:rPr>
              <w:t>记录并交由评标委员会评审。保证金来款账户非基本账户的，交由评标委员会作否决投标处理。</w:t>
            </w:r>
          </w:p>
          <w:p>
            <w:pPr>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6.3 开启投标保函部分袋，现场展示纸质投标保函正本复印件，</w:t>
            </w:r>
            <w:r>
              <w:rPr>
                <w:rFonts w:hint="eastAsia" w:ascii="宋体" w:hAnsi="宋体" w:eastAsia="宋体" w:cs="宋体"/>
                <w:snapToGrid w:val="0"/>
                <w:color w:val="auto"/>
                <w:sz w:val="21"/>
                <w:szCs w:val="21"/>
                <w:highlight w:val="none"/>
                <w:lang w:val="en-US" w:eastAsia="zh-CN"/>
              </w:rPr>
              <w:t>并记录在“纸质投标保函递交情况一览表”中</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rPr>
              <w:t>异常情况在开标记录表</w:t>
            </w:r>
            <w:r>
              <w:rPr>
                <w:rFonts w:hint="eastAsia" w:ascii="宋体" w:hAnsi="宋体" w:eastAsia="宋体" w:cs="宋体"/>
                <w:snapToGrid w:val="0"/>
                <w:color w:val="auto"/>
                <w:sz w:val="21"/>
                <w:szCs w:val="21"/>
                <w:highlight w:val="none"/>
                <w:lang w:val="en-US" w:eastAsia="zh-CN"/>
              </w:rPr>
              <w:t>“备注”栏中记录。纸质投标保函原件与纸质投标保函递交情况一览表、</w:t>
            </w:r>
            <w:r>
              <w:rPr>
                <w:rFonts w:hint="eastAsia" w:ascii="宋体" w:hAnsi="宋体" w:eastAsia="宋体" w:cs="宋体"/>
                <w:snapToGrid w:val="0"/>
                <w:color w:val="auto"/>
                <w:sz w:val="21"/>
                <w:szCs w:val="21"/>
                <w:highlight w:val="none"/>
              </w:rPr>
              <w:t>开标记录表</w:t>
            </w:r>
            <w:r>
              <w:rPr>
                <w:rFonts w:hint="eastAsia" w:ascii="宋体" w:hAnsi="宋体" w:eastAsia="宋体" w:cs="宋体"/>
                <w:snapToGrid w:val="0"/>
                <w:color w:val="auto"/>
                <w:sz w:val="21"/>
                <w:szCs w:val="21"/>
                <w:highlight w:val="none"/>
                <w:lang w:val="en-US" w:eastAsia="zh-CN"/>
              </w:rPr>
              <w:t>一并</w:t>
            </w:r>
            <w:r>
              <w:rPr>
                <w:rFonts w:hint="eastAsia" w:ascii="宋体" w:hAnsi="宋体" w:eastAsia="宋体" w:cs="宋体"/>
                <w:snapToGrid w:val="0"/>
                <w:color w:val="auto"/>
                <w:sz w:val="21"/>
                <w:szCs w:val="21"/>
                <w:highlight w:val="none"/>
              </w:rPr>
              <w:t>交由评标委员会评审</w:t>
            </w:r>
            <w:r>
              <w:rPr>
                <w:rFonts w:hint="eastAsia" w:ascii="宋体" w:hAnsi="宋体" w:eastAsia="宋体" w:cs="宋体"/>
                <w:snapToGrid w:val="0"/>
                <w:color w:val="auto"/>
                <w:sz w:val="21"/>
                <w:szCs w:val="21"/>
                <w:highlight w:val="none"/>
                <w:lang w:eastAsia="zh-CN"/>
              </w:rPr>
              <w:t>。</w:t>
            </w:r>
          </w:p>
          <w:p>
            <w:pPr>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6.4 打印所有投标人的投标保证金交纳情況，</w:t>
            </w:r>
            <w:r>
              <w:rPr>
                <w:rFonts w:hint="eastAsia" w:ascii="宋体" w:hAnsi="宋体" w:eastAsia="宋体" w:cs="宋体"/>
                <w:snapToGrid w:val="0"/>
                <w:color w:val="auto"/>
                <w:sz w:val="21"/>
                <w:szCs w:val="21"/>
                <w:highlight w:val="none"/>
                <w:lang w:val="en-US" w:eastAsia="zh-CN"/>
              </w:rPr>
              <w:t>并由</w:t>
            </w:r>
            <w:r>
              <w:rPr>
                <w:rFonts w:hint="eastAsia" w:ascii="宋体" w:hAnsi="宋体" w:eastAsia="宋体" w:cs="宋体"/>
                <w:snapToGrid w:val="0"/>
                <w:color w:val="auto"/>
                <w:sz w:val="21"/>
                <w:szCs w:val="21"/>
                <w:highlight w:val="none"/>
              </w:rPr>
              <w:t>招标人代表、监标人、记录人签字确认。</w:t>
            </w:r>
          </w:p>
          <w:p>
            <w:pPr>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7</w:t>
            </w:r>
            <w:r>
              <w:rPr>
                <w:rFonts w:hint="eastAsia" w:ascii="宋体" w:hAnsi="宋体" w:eastAsia="宋体" w:cs="宋体"/>
                <w:snapToGrid w:val="0"/>
                <w:color w:val="auto"/>
                <w:sz w:val="21"/>
                <w:szCs w:val="21"/>
                <w:highlight w:val="none"/>
              </w:rPr>
              <w:t>. 逐单位随机开启投标文件。开启投标文件大袋及投标函部分袋、经济部分袋、技术部分袋、</w:t>
            </w:r>
            <w:r>
              <w:rPr>
                <w:rFonts w:hint="eastAsia" w:ascii="宋体" w:hAnsi="宋体" w:eastAsia="宋体" w:cs="宋体"/>
                <w:snapToGrid w:val="0"/>
                <w:color w:val="auto"/>
                <w:sz w:val="21"/>
                <w:szCs w:val="21"/>
                <w:highlight w:val="none"/>
                <w:lang w:val="en-US" w:eastAsia="zh-CN"/>
              </w:rPr>
              <w:t>商务部分袋、</w:t>
            </w:r>
            <w:r>
              <w:rPr>
                <w:rFonts w:hint="eastAsia" w:ascii="宋体" w:hAnsi="宋体" w:eastAsia="宋体" w:cs="宋体"/>
                <w:snapToGrid w:val="0"/>
                <w:color w:val="auto"/>
                <w:sz w:val="21"/>
                <w:szCs w:val="21"/>
                <w:highlight w:val="none"/>
              </w:rPr>
              <w:t>资格审查部分袋；公布投标人名称、投标报价、质量要求、工期及其他内容并记录在案。</w:t>
            </w:r>
          </w:p>
          <w:p>
            <w:pPr>
              <w:ind w:firstLine="420" w:firstLineChars="2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8.在重庆市工程建设领域招标投标信用平台上查询、公布所有投标人信用情况（若遇特殊情况，可在开标现场或开标当日，采用人工方式在“重庆市公共资源交易监督网”的“信用信息”栏目查询、核实），汇总并打印所有投标人的信用查询结果，并由主持人、招标人代表、监标人、记录人签名确认。</w:t>
            </w:r>
          </w:p>
          <w:p>
            <w:pPr>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9</w:t>
            </w:r>
            <w:r>
              <w:rPr>
                <w:rFonts w:hint="eastAsia" w:ascii="宋体" w:hAnsi="宋体" w:eastAsia="宋体" w:cs="宋体"/>
                <w:snapToGrid w:val="0"/>
                <w:color w:val="auto"/>
                <w:sz w:val="21"/>
                <w:szCs w:val="21"/>
                <w:highlight w:val="none"/>
              </w:rPr>
              <w:t>. 投标人对开标有异议的，应当场提出，由招标人或代理机构当场答复，并记录到开标记录表中。异议处理完毕后，汇总开标情况，打印开标记录表。</w:t>
            </w:r>
          </w:p>
          <w:p>
            <w:pPr>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10</w:t>
            </w:r>
            <w:r>
              <w:rPr>
                <w:rFonts w:hint="eastAsia" w:ascii="宋体" w:hAnsi="宋体" w:eastAsia="宋体" w:cs="宋体"/>
                <w:snapToGrid w:val="0"/>
                <w:color w:val="auto"/>
                <w:sz w:val="21"/>
                <w:szCs w:val="21"/>
                <w:highlight w:val="none"/>
              </w:rPr>
              <w:t>. 投标人代表、招标人代表、监标人、主持人、记录人等有关人员在开标记录上签字确认。因其他原因未能签字的，视为默认开标结果。</w:t>
            </w:r>
          </w:p>
          <w:p>
            <w:pPr>
              <w:ind w:firstLine="420" w:firstLineChars="200"/>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11</w:t>
            </w:r>
            <w:r>
              <w:rPr>
                <w:rFonts w:hint="eastAsia" w:ascii="宋体" w:hAnsi="宋体" w:eastAsia="宋体" w:cs="宋体"/>
                <w:snapToGrid w:val="0"/>
                <w:color w:val="auto"/>
                <w:sz w:val="21"/>
                <w:szCs w:val="21"/>
                <w:highlight w:val="none"/>
              </w:rPr>
              <w:t>.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59" w:type="dxa"/>
            <w:noWrap w:val="0"/>
            <w:vAlign w:val="center"/>
          </w:tcPr>
          <w:p>
            <w:pPr>
              <w:pStyle w:val="2"/>
              <w:rPr>
                <w:color w:val="auto"/>
                <w:highlight w:val="none"/>
              </w:rPr>
            </w:pPr>
          </w:p>
          <w:p>
            <w:pPr>
              <w:rPr>
                <w:color w:val="auto"/>
                <w:highlight w:val="none"/>
              </w:rPr>
            </w:pP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评标委员会的组建</w:t>
            </w:r>
          </w:p>
        </w:tc>
        <w:tc>
          <w:tcPr>
            <w:tcW w:w="6530" w:type="dxa"/>
            <w:noWrap w:val="0"/>
            <w:vAlign w:val="center"/>
          </w:tcPr>
          <w:p>
            <w:pPr>
              <w:ind w:firstLine="420" w:firstLineChars="200"/>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评标委员会构成：由招标人依法组建。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7.3.1</w:t>
            </w:r>
          </w:p>
        </w:tc>
        <w:tc>
          <w:tcPr>
            <w:tcW w:w="1843" w:type="dxa"/>
            <w:noWrap w:val="0"/>
            <w:vAlign w:val="center"/>
          </w:tcPr>
          <w:p>
            <w:pP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履约担保</w:t>
            </w:r>
          </w:p>
        </w:tc>
        <w:tc>
          <w:tcPr>
            <w:tcW w:w="6530" w:type="dxa"/>
            <w:noWrap w:val="0"/>
            <w:vAlign w:val="center"/>
          </w:tcPr>
          <w:p>
            <w:pPr>
              <w:snapToGri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1、中标人是否提供履约担保：</w:t>
            </w:r>
            <w:r>
              <w:rPr>
                <w:rFonts w:hint="eastAsia" w:ascii="宋体" w:hAnsi="宋体" w:eastAsia="宋体" w:cs="宋体"/>
                <w:kern w:val="0"/>
                <w:sz w:val="21"/>
                <w:szCs w:val="21"/>
                <w:u w:val="single"/>
              </w:rPr>
              <w:t>提供</w:t>
            </w:r>
            <w:r>
              <w:rPr>
                <w:rFonts w:hint="eastAsia" w:ascii="宋体" w:hAnsi="宋体" w:eastAsia="宋体" w:cs="宋体"/>
                <w:kern w:val="0"/>
                <w:sz w:val="21"/>
                <w:szCs w:val="21"/>
              </w:rPr>
              <w:t>。</w:t>
            </w:r>
          </w:p>
          <w:p>
            <w:pPr>
              <w:snapToGri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2、中标人提供履约担保的形式、金额及期限：</w:t>
            </w:r>
          </w:p>
          <w:p>
            <w:pPr>
              <w:snapToGrid w:val="0"/>
              <w:spacing w:line="400" w:lineRule="exact"/>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（1）履约担保的形式：现金或</w:t>
            </w:r>
            <w:r>
              <w:rPr>
                <w:rFonts w:hint="eastAsia" w:ascii="宋体" w:hAnsi="宋体" w:eastAsia="宋体" w:cs="宋体"/>
                <w:kern w:val="0"/>
                <w:sz w:val="21"/>
                <w:szCs w:val="21"/>
                <w:lang w:eastAsia="zh-CN"/>
              </w:rPr>
              <w:t>履约</w:t>
            </w:r>
            <w:r>
              <w:rPr>
                <w:rFonts w:hint="eastAsia" w:ascii="宋体" w:hAnsi="宋体" w:eastAsia="宋体" w:cs="宋体"/>
                <w:kern w:val="0"/>
                <w:sz w:val="21"/>
                <w:szCs w:val="21"/>
              </w:rPr>
              <w:t>保函或现金+</w:t>
            </w:r>
            <w:r>
              <w:rPr>
                <w:rFonts w:hint="eastAsia" w:ascii="宋体" w:hAnsi="宋体" w:eastAsia="宋体" w:cs="宋体"/>
                <w:kern w:val="0"/>
                <w:sz w:val="21"/>
                <w:szCs w:val="21"/>
                <w:lang w:eastAsia="zh-CN"/>
              </w:rPr>
              <w:t>履约</w:t>
            </w:r>
            <w:r>
              <w:rPr>
                <w:rFonts w:hint="eastAsia" w:ascii="宋体" w:hAnsi="宋体" w:eastAsia="宋体" w:cs="宋体"/>
                <w:kern w:val="0"/>
                <w:sz w:val="21"/>
                <w:szCs w:val="21"/>
              </w:rPr>
              <w:t>保函的组合</w:t>
            </w:r>
            <w:r>
              <w:rPr>
                <w:rFonts w:hint="eastAsia" w:ascii="宋体" w:hAnsi="宋体" w:eastAsia="宋体" w:cs="宋体"/>
                <w:kern w:val="0"/>
                <w:sz w:val="21"/>
                <w:szCs w:val="21"/>
                <w:lang w:eastAsia="zh-CN"/>
              </w:rPr>
              <w:t>，履约</w:t>
            </w:r>
            <w:r>
              <w:rPr>
                <w:rFonts w:hint="eastAsia" w:ascii="宋体" w:hAnsi="宋体" w:eastAsia="宋体" w:cs="宋体"/>
                <w:kern w:val="0"/>
                <w:sz w:val="21"/>
                <w:szCs w:val="21"/>
              </w:rPr>
              <w:t>保函包括银行保函、保证保险和担保保函</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其示范文本详见第四章合同条款及格式附件</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中标人提交的履约保函应</w:t>
            </w:r>
            <w:r>
              <w:rPr>
                <w:rFonts w:hint="eastAsia" w:ascii="宋体" w:hAnsi="宋体" w:eastAsia="宋体" w:cs="宋体"/>
                <w:kern w:val="0"/>
                <w:sz w:val="21"/>
                <w:szCs w:val="21"/>
              </w:rPr>
              <w:t>严格执行</w:t>
            </w:r>
            <w:r>
              <w:rPr>
                <w:rFonts w:hint="eastAsia" w:ascii="宋体" w:hAnsi="宋体" w:eastAsia="宋体" w:cs="宋体"/>
                <w:kern w:val="0"/>
                <w:sz w:val="21"/>
                <w:szCs w:val="21"/>
                <w:lang w:val="en-US" w:eastAsia="zh-CN"/>
              </w:rPr>
              <w:t>其</w:t>
            </w:r>
            <w:r>
              <w:rPr>
                <w:rFonts w:hint="eastAsia" w:ascii="宋体" w:hAnsi="宋体" w:eastAsia="宋体" w:cs="宋体"/>
                <w:kern w:val="0"/>
                <w:sz w:val="21"/>
                <w:szCs w:val="21"/>
              </w:rPr>
              <w:t>示范文本，不得对示范文本中的实质性内容进行修改</w:t>
            </w:r>
            <w:r>
              <w:rPr>
                <w:rFonts w:hint="eastAsia" w:ascii="宋体" w:hAnsi="宋体" w:eastAsia="宋体" w:cs="宋体"/>
                <w:sz w:val="21"/>
                <w:szCs w:val="21"/>
                <w:lang w:val="en-US" w:eastAsia="zh-CN"/>
              </w:rPr>
              <w:t>。</w:t>
            </w:r>
          </w:p>
          <w:p>
            <w:pPr>
              <w:snapToGri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（2）具体要求：履约保函</w:t>
            </w:r>
            <w:r>
              <w:rPr>
                <w:rFonts w:hint="eastAsia" w:ascii="宋体" w:hAnsi="宋体" w:eastAsia="宋体" w:cs="宋体"/>
                <w:kern w:val="0"/>
                <w:sz w:val="21"/>
                <w:szCs w:val="21"/>
              </w:rPr>
              <w:t>的开立人应当是具有相应资格的银行、保险机构、融资担保公司，其信用资质、履约能力、担保能力、赔付流程、安全保密等应符合</w:t>
            </w:r>
            <w:r>
              <w:rPr>
                <w:rFonts w:hint="eastAsia" w:ascii="宋体" w:hAnsi="宋体" w:eastAsia="宋体" w:cs="宋体"/>
                <w:kern w:val="0"/>
                <w:sz w:val="21"/>
                <w:szCs w:val="21"/>
                <w:lang w:eastAsia="zh-CN"/>
              </w:rPr>
              <w:t>履约</w:t>
            </w:r>
            <w:r>
              <w:rPr>
                <w:rFonts w:hint="eastAsia" w:ascii="宋体" w:hAnsi="宋体" w:eastAsia="宋体" w:cs="宋体"/>
                <w:kern w:val="0"/>
                <w:sz w:val="21"/>
                <w:szCs w:val="21"/>
              </w:rPr>
              <w:t>保函业务条件</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履约保函</w:t>
            </w:r>
            <w:r>
              <w:rPr>
                <w:rFonts w:hint="eastAsia" w:ascii="宋体" w:hAnsi="宋体" w:eastAsia="宋体" w:cs="宋体"/>
                <w:kern w:val="0"/>
                <w:sz w:val="21"/>
                <w:szCs w:val="21"/>
                <w:lang w:eastAsia="zh-CN"/>
              </w:rPr>
              <w:t>应合法合规，符合招投标行政监督部门、行业主管部门和金融监管部门的相关规定，满足招标文件约定要求。</w:t>
            </w:r>
            <w:r>
              <w:rPr>
                <w:rFonts w:hint="eastAsia" w:ascii="宋体" w:hAnsi="宋体" w:eastAsia="宋体" w:cs="宋体"/>
                <w:kern w:val="0"/>
                <w:sz w:val="21"/>
                <w:szCs w:val="21"/>
                <w:lang w:val="en-US" w:eastAsia="zh-CN"/>
              </w:rPr>
              <w:t>中标人</w:t>
            </w:r>
            <w:r>
              <w:rPr>
                <w:rFonts w:hint="eastAsia" w:ascii="宋体" w:hAnsi="宋体" w:eastAsia="宋体" w:cs="宋体"/>
                <w:kern w:val="0"/>
                <w:sz w:val="21"/>
                <w:szCs w:val="21"/>
              </w:rPr>
              <w:t>应选择在渝依法设立总部或者设有分支机构的金融机构开具</w:t>
            </w:r>
            <w:r>
              <w:rPr>
                <w:rFonts w:hint="eastAsia" w:ascii="宋体" w:hAnsi="宋体" w:eastAsia="宋体" w:cs="宋体"/>
                <w:kern w:val="0"/>
                <w:sz w:val="21"/>
                <w:szCs w:val="21"/>
                <w:lang w:val="en-US" w:eastAsia="zh-CN"/>
              </w:rPr>
              <w:t>履约保函（包括纸质保函或电子保函）</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履约保函为纸质保函的，纸质保函应注明在</w:t>
            </w:r>
            <w:r>
              <w:rPr>
                <w:rFonts w:hint="eastAsia" w:ascii="宋体" w:hAnsi="宋体" w:eastAsia="宋体" w:cs="宋体"/>
                <w:kern w:val="0"/>
                <w:sz w:val="21"/>
                <w:szCs w:val="21"/>
              </w:rPr>
              <w:t>重庆市辖区范围内的核验地址和核验方式，并确保该纸质保函能在开立人在渝的总部或者分支机构进行核验</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中标人对所提交的履约保函的真实性、合法性、有效性负责</w:t>
            </w:r>
            <w:r>
              <w:rPr>
                <w:rFonts w:hint="eastAsia" w:ascii="宋体" w:hAnsi="宋体" w:eastAsia="宋体" w:cs="宋体"/>
                <w:kern w:val="0"/>
                <w:sz w:val="21"/>
                <w:szCs w:val="21"/>
              </w:rPr>
              <w:t>。</w:t>
            </w:r>
          </w:p>
          <w:p>
            <w:pPr>
              <w:snapToGri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）履约担保的金额：</w:t>
            </w:r>
            <w:r>
              <w:rPr>
                <w:rFonts w:hint="eastAsia" w:ascii="宋体" w:hAnsi="宋体" w:eastAsia="宋体" w:cs="宋体"/>
                <w:kern w:val="0"/>
                <w:sz w:val="21"/>
                <w:szCs w:val="21"/>
                <w:u w:val="single"/>
                <w:lang w:val="en-US" w:eastAsia="zh-CN"/>
              </w:rPr>
              <w:t>中标金额10%</w:t>
            </w:r>
            <w:r>
              <w:rPr>
                <w:rFonts w:hint="eastAsia" w:ascii="宋体" w:hAnsi="宋体" w:eastAsia="宋体" w:cs="宋体"/>
                <w:kern w:val="0"/>
                <w:sz w:val="21"/>
                <w:szCs w:val="21"/>
              </w:rPr>
              <w:t>，红名单中的中标人履约担保金额为应缴纳金额的</w:t>
            </w:r>
            <w:r>
              <w:rPr>
                <w:rFonts w:hint="eastAsia" w:ascii="宋体" w:hAnsi="宋体" w:eastAsia="宋体" w:cs="宋体"/>
                <w:kern w:val="0"/>
                <w:sz w:val="21"/>
                <w:szCs w:val="21"/>
                <w:u w:val="single"/>
                <w:lang w:val="en-US" w:eastAsia="zh-CN"/>
              </w:rPr>
              <w:t>80%</w:t>
            </w:r>
            <w:r>
              <w:rPr>
                <w:rFonts w:hint="eastAsia" w:ascii="宋体" w:hAnsi="宋体" w:eastAsia="宋体" w:cs="宋体"/>
                <w:kern w:val="0"/>
                <w:sz w:val="21"/>
                <w:szCs w:val="21"/>
              </w:rPr>
              <w:t>。中标人是否属于红名单方式一：以开标环节信用状况查询结果为准。</w:t>
            </w:r>
          </w:p>
          <w:p>
            <w:pPr>
              <w:snapToGri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）履约担保的提交时间：</w:t>
            </w:r>
            <w:r>
              <w:rPr>
                <w:rFonts w:hint="eastAsia" w:ascii="宋体" w:hAnsi="宋体" w:eastAsia="宋体" w:cs="宋体"/>
                <w:color w:val="auto"/>
                <w:kern w:val="0"/>
                <w:sz w:val="21"/>
                <w:szCs w:val="21"/>
                <w:highlight w:val="none"/>
                <w:lang w:eastAsia="zh-CN"/>
              </w:rPr>
              <w:t>收到中标通知书后且在合同签订前</w:t>
            </w:r>
            <w:r>
              <w:rPr>
                <w:rFonts w:hint="eastAsia" w:eastAsia="宋体" w:cs="宋体"/>
                <w:color w:val="auto"/>
                <w:kern w:val="2"/>
                <w:sz w:val="21"/>
                <w:szCs w:val="21"/>
                <w:highlight w:val="none"/>
                <w:lang w:val="en-US" w:eastAsia="zh-CN"/>
              </w:rPr>
              <w:t>提交</w:t>
            </w:r>
            <w:r>
              <w:rPr>
                <w:rFonts w:hint="eastAsia" w:ascii="宋体" w:hAnsi="宋体" w:eastAsia="宋体" w:cs="宋体"/>
                <w:kern w:val="0"/>
                <w:sz w:val="21"/>
                <w:szCs w:val="21"/>
              </w:rPr>
              <w:t>。</w:t>
            </w:r>
          </w:p>
          <w:p>
            <w:pPr>
              <w:pStyle w:val="120"/>
              <w:snapToGrid w:val="0"/>
              <w:spacing w:line="40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kern w:val="0"/>
                <w:sz w:val="21"/>
                <w:szCs w:val="21"/>
              </w:rPr>
              <w:t>（5）履约担保的退还时间：</w:t>
            </w:r>
            <w:r>
              <w:rPr>
                <w:rFonts w:hint="eastAsia" w:ascii="宋体" w:hAnsi="宋体" w:eastAsia="宋体" w:cs="宋体"/>
                <w:color w:val="auto"/>
                <w:kern w:val="0"/>
                <w:sz w:val="21"/>
                <w:szCs w:val="21"/>
                <w:highlight w:val="none"/>
              </w:rPr>
              <w:t>合同终止后，按照协议履行相关义务，未造成违约，15个工作日后无息退还保证金</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59"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w:t>
            </w:r>
          </w:p>
        </w:tc>
        <w:tc>
          <w:tcPr>
            <w:tcW w:w="8373" w:type="dxa"/>
            <w:gridSpan w:val="2"/>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959" w:type="dxa"/>
            <w:noWrap w:val="0"/>
            <w:vAlign w:val="center"/>
          </w:tcPr>
          <w:p>
            <w:pPr>
              <w:jc w:val="center"/>
              <w:rPr>
                <w:rFonts w:hint="default"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10.1</w:t>
            </w:r>
          </w:p>
        </w:tc>
        <w:tc>
          <w:tcPr>
            <w:tcW w:w="1843" w:type="dxa"/>
            <w:noWrap w:val="0"/>
            <w:vAlign w:val="center"/>
          </w:tcPr>
          <w:p>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交易服务费</w:t>
            </w:r>
          </w:p>
        </w:tc>
        <w:tc>
          <w:tcPr>
            <w:tcW w:w="6530" w:type="dxa"/>
            <w:noWrap w:val="0"/>
            <w:vAlign w:val="center"/>
          </w:tcPr>
          <w:p>
            <w:pPr>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kern w:val="0"/>
                <w:sz w:val="21"/>
                <w:szCs w:val="21"/>
              </w:rPr>
              <w:t>《重庆市发展和改革委员会关于重庆联合产权交易所集团股份有限公司（重庆市公共资源交易中心）交易服务收费有关事项的通知》（渝发改收费[2023]115号）文规定收取交易服务费，由中标人按规定全额缴纳。投标人将该费用纳入投标报价，但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959" w:type="dxa"/>
            <w:noWrap w:val="0"/>
            <w:vAlign w:val="center"/>
          </w:tcPr>
          <w:p>
            <w:pPr>
              <w:jc w:val="center"/>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10.</w:t>
            </w:r>
            <w:r>
              <w:rPr>
                <w:rFonts w:hint="eastAsia" w:ascii="宋体" w:hAnsi="宋体" w:eastAsia="宋体" w:cs="宋体"/>
                <w:snapToGrid w:val="0"/>
                <w:color w:val="auto"/>
                <w:sz w:val="21"/>
                <w:szCs w:val="21"/>
                <w:highlight w:val="none"/>
                <w:lang w:val="en-US" w:eastAsia="zh-CN"/>
              </w:rPr>
              <w:t>2</w:t>
            </w:r>
          </w:p>
        </w:tc>
        <w:tc>
          <w:tcPr>
            <w:tcW w:w="1843" w:type="dxa"/>
            <w:noWrap w:val="0"/>
            <w:vAlign w:val="center"/>
          </w:tcPr>
          <w:p>
            <w:pPr>
              <w:jc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招标代理服务费</w:t>
            </w:r>
          </w:p>
        </w:tc>
        <w:tc>
          <w:tcPr>
            <w:tcW w:w="6530" w:type="dxa"/>
            <w:noWrap w:val="0"/>
            <w:vAlign w:val="center"/>
          </w:tcPr>
          <w:p>
            <w:pPr>
              <w:ind w:firstLine="420" w:firstLineChars="200"/>
              <w:rPr>
                <w:rFonts w:ascii="宋体" w:hAnsi="宋体" w:eastAsia="宋体" w:cs="宋体"/>
                <w:snapToGrid w:val="0"/>
                <w:color w:val="auto"/>
                <w:sz w:val="21"/>
                <w:szCs w:val="21"/>
                <w:highlight w:val="none"/>
              </w:rPr>
            </w:pPr>
            <w:r>
              <w:rPr>
                <w:rFonts w:ascii="宋体" w:hAnsi="宋体" w:eastAsia="宋体" w:cs="宋体"/>
                <w:snapToGrid w:val="0"/>
                <w:color w:val="auto"/>
                <w:sz w:val="21"/>
                <w:szCs w:val="21"/>
                <w:highlight w:val="none"/>
              </w:rPr>
              <w:t>本工程招标代理费由中标单位在领取中标通知书时一次性向招标代理公司支付，</w:t>
            </w:r>
            <w:r>
              <w:rPr>
                <w:rFonts w:hint="eastAsia" w:ascii="宋体" w:hAnsi="宋体" w:eastAsia="宋体" w:cs="宋体"/>
                <w:snapToGrid w:val="0"/>
                <w:color w:val="auto"/>
                <w:sz w:val="21"/>
                <w:szCs w:val="21"/>
                <w:highlight w:val="none"/>
                <w:lang w:val="en-US" w:eastAsia="zh-CN"/>
              </w:rPr>
              <w:t>代理服务费为人民币25000.00元</w:t>
            </w:r>
            <w:r>
              <w:rPr>
                <w:rFonts w:ascii="宋体" w:hAnsi="宋体" w:eastAsia="宋体" w:cs="宋体"/>
                <w:snapToGrid w:val="0"/>
                <w:color w:val="auto"/>
                <w:sz w:val="21"/>
                <w:szCs w:val="21"/>
                <w:highlight w:val="none"/>
              </w:rPr>
              <w:t>。招标代理服务费含在投标报价中，但不单独列出。</w:t>
            </w:r>
          </w:p>
        </w:tc>
      </w:tr>
    </w:tbl>
    <w:p>
      <w:pPr>
        <w:rPr>
          <w:rFonts w:ascii="宋体" w:hAnsi="宋体" w:eastAsia="宋体" w:cs="宋体"/>
          <w:b/>
          <w:snapToGrid w:val="0"/>
          <w:color w:val="auto"/>
          <w:kern w:val="0"/>
          <w:highlight w:val="none"/>
        </w:rPr>
        <w:sectPr>
          <w:footerReference r:id="rId11" w:type="default"/>
          <w:pgSz w:w="11907" w:h="16839"/>
          <w:pgMar w:top="1000" w:right="1107" w:bottom="993" w:left="1440" w:header="720" w:footer="720" w:gutter="0"/>
          <w:pgNumType w:chapStyle="1"/>
          <w:cols w:space="720" w:num="1"/>
          <w:docGrid w:linePitch="286" w:charSpace="0"/>
        </w:sectPr>
      </w:pPr>
      <w:r>
        <w:rPr>
          <w:rFonts w:hint="eastAsia" w:ascii="宋体" w:hAnsi="宋体" w:eastAsia="宋体" w:cs="宋体"/>
          <w:b/>
          <w:snapToGrid w:val="0"/>
          <w:color w:val="auto"/>
          <w:kern w:val="0"/>
          <w:highlight w:val="none"/>
        </w:rPr>
        <w:t>注：投标人须知前附表与正文</w:t>
      </w:r>
      <w:r>
        <w:rPr>
          <w:rFonts w:hint="eastAsia" w:ascii="宋体" w:hAnsi="宋体" w:eastAsia="宋体" w:cs="宋体"/>
          <w:b/>
          <w:color w:val="auto"/>
          <w:highlight w:val="none"/>
        </w:rPr>
        <w:t>不一致的</w:t>
      </w:r>
      <w:r>
        <w:rPr>
          <w:rFonts w:hint="eastAsia" w:ascii="宋体" w:hAnsi="宋体" w:eastAsia="宋体" w:cs="宋体"/>
          <w:b/>
          <w:snapToGrid w:val="0"/>
          <w:color w:val="auto"/>
          <w:kern w:val="0"/>
          <w:highlight w:val="none"/>
        </w:rPr>
        <w:t>，以投标人须知前附表为准。</w:t>
      </w:r>
    </w:p>
    <w:p>
      <w:pPr>
        <w:pStyle w:val="151"/>
        <w:spacing w:beforeLines="0" w:afterLines="0"/>
        <w:rPr>
          <w:rFonts w:ascii="宋体" w:hAnsi="宋体" w:eastAsia="宋体" w:cs="宋体"/>
          <w:color w:val="auto"/>
          <w:highlight w:val="none"/>
        </w:rPr>
      </w:pPr>
      <w:bookmarkStart w:id="75" w:name="_Toc6091_WPSOffice_Level2"/>
      <w:r>
        <w:rPr>
          <w:rFonts w:hint="eastAsia" w:ascii="宋体" w:hAnsi="宋体" w:eastAsia="宋体" w:cs="宋体"/>
          <w:color w:val="auto"/>
          <w:highlight w:val="none"/>
        </w:rPr>
        <w:t>1　总则</w:t>
      </w:r>
      <w:bookmarkEnd w:id="75"/>
    </w:p>
    <w:p>
      <w:pPr>
        <w:pStyle w:val="119"/>
        <w:spacing w:line="360" w:lineRule="auto"/>
        <w:rPr>
          <w:rFonts w:eastAsia="宋体" w:cs="宋体"/>
          <w:color w:val="auto"/>
          <w:sz w:val="21"/>
          <w:highlight w:val="none"/>
        </w:rPr>
      </w:pPr>
      <w:bookmarkStart w:id="76" w:name="_Toc28412_WPSOffice_Level3"/>
      <w:bookmarkStart w:id="77" w:name="_Toc29872_WPSOffice_Level3"/>
      <w:r>
        <w:rPr>
          <w:rFonts w:hint="eastAsia" w:eastAsia="宋体" w:cs="宋体"/>
          <w:color w:val="auto"/>
          <w:sz w:val="21"/>
          <w:highlight w:val="none"/>
        </w:rPr>
        <w:t>1.1　项目概况</w:t>
      </w:r>
      <w:bookmarkEnd w:id="76"/>
      <w:bookmarkEnd w:id="77"/>
    </w:p>
    <w:p>
      <w:pPr>
        <w:pStyle w:val="120"/>
        <w:spacing w:line="360" w:lineRule="auto"/>
        <w:rPr>
          <w:rFonts w:eastAsia="宋体" w:cs="宋体"/>
          <w:color w:val="auto"/>
          <w:sz w:val="21"/>
          <w:highlight w:val="none"/>
        </w:rPr>
      </w:pPr>
      <w:r>
        <w:rPr>
          <w:rFonts w:hint="eastAsia" w:eastAsia="宋体" w:cs="宋体"/>
          <w:color w:val="auto"/>
          <w:sz w:val="21"/>
          <w:highlight w:val="none"/>
        </w:rPr>
        <w:t>1.1.1　根据《中华人民共和国招标投标法》等有关法律、法规和规章的规定，本招标项目已具备招标条件，现对本项目进行公开招标。</w:t>
      </w:r>
    </w:p>
    <w:p>
      <w:pPr>
        <w:pStyle w:val="120"/>
        <w:spacing w:line="360" w:lineRule="auto"/>
        <w:rPr>
          <w:rFonts w:eastAsia="宋体" w:cs="宋体"/>
          <w:color w:val="auto"/>
          <w:sz w:val="21"/>
          <w:highlight w:val="none"/>
        </w:rPr>
      </w:pPr>
      <w:r>
        <w:rPr>
          <w:rFonts w:hint="eastAsia" w:eastAsia="宋体" w:cs="宋体"/>
          <w:color w:val="auto"/>
          <w:sz w:val="21"/>
          <w:highlight w:val="none"/>
        </w:rPr>
        <w:t>1.1.2　本招标项目招标人：见投标人须知前附表。</w:t>
      </w:r>
    </w:p>
    <w:p>
      <w:pPr>
        <w:pStyle w:val="120"/>
        <w:spacing w:line="360" w:lineRule="auto"/>
        <w:rPr>
          <w:rFonts w:eastAsia="宋体" w:cs="宋体"/>
          <w:color w:val="auto"/>
          <w:sz w:val="21"/>
          <w:highlight w:val="none"/>
        </w:rPr>
      </w:pPr>
      <w:r>
        <w:rPr>
          <w:rFonts w:hint="eastAsia" w:eastAsia="宋体" w:cs="宋体"/>
          <w:color w:val="auto"/>
          <w:sz w:val="21"/>
          <w:highlight w:val="none"/>
        </w:rPr>
        <w:t>1.1.3　本项目招标代理机构：见投标人须知前附表。</w:t>
      </w:r>
    </w:p>
    <w:p>
      <w:pPr>
        <w:pStyle w:val="120"/>
        <w:spacing w:line="360" w:lineRule="auto"/>
        <w:rPr>
          <w:rFonts w:eastAsia="宋体" w:cs="宋体"/>
          <w:color w:val="auto"/>
          <w:sz w:val="21"/>
          <w:highlight w:val="none"/>
        </w:rPr>
      </w:pPr>
      <w:r>
        <w:rPr>
          <w:rFonts w:hint="eastAsia" w:eastAsia="宋体" w:cs="宋体"/>
          <w:color w:val="auto"/>
          <w:sz w:val="21"/>
          <w:highlight w:val="none"/>
        </w:rPr>
        <w:t>1.1.4　本招标项目名称：见投标人须知前附表。</w:t>
      </w:r>
    </w:p>
    <w:p>
      <w:pPr>
        <w:pStyle w:val="120"/>
        <w:spacing w:line="360" w:lineRule="auto"/>
        <w:rPr>
          <w:rFonts w:eastAsia="宋体" w:cs="宋体"/>
          <w:color w:val="auto"/>
          <w:sz w:val="21"/>
          <w:highlight w:val="none"/>
        </w:rPr>
      </w:pPr>
      <w:r>
        <w:rPr>
          <w:rFonts w:hint="eastAsia" w:eastAsia="宋体" w:cs="宋体"/>
          <w:color w:val="auto"/>
          <w:sz w:val="21"/>
          <w:highlight w:val="none"/>
        </w:rPr>
        <w:t>1.1.5　本项目建设地点：见投标人须知前附表。</w:t>
      </w:r>
    </w:p>
    <w:p>
      <w:pPr>
        <w:pStyle w:val="119"/>
        <w:spacing w:line="360" w:lineRule="auto"/>
        <w:rPr>
          <w:rFonts w:eastAsia="宋体" w:cs="宋体"/>
          <w:color w:val="auto"/>
          <w:sz w:val="21"/>
          <w:highlight w:val="none"/>
        </w:rPr>
      </w:pPr>
      <w:bookmarkStart w:id="78" w:name="_Toc25126_WPSOffice_Level3"/>
      <w:bookmarkStart w:id="79" w:name="_Toc6877_WPSOffice_Level3"/>
      <w:r>
        <w:rPr>
          <w:rFonts w:hint="eastAsia" w:eastAsia="宋体" w:cs="宋体"/>
          <w:color w:val="auto"/>
          <w:sz w:val="21"/>
          <w:highlight w:val="none"/>
        </w:rPr>
        <w:t>1.2　资金来源和落实情况</w:t>
      </w:r>
      <w:bookmarkEnd w:id="78"/>
      <w:bookmarkEnd w:id="79"/>
    </w:p>
    <w:p>
      <w:pPr>
        <w:pStyle w:val="120"/>
        <w:spacing w:line="360" w:lineRule="auto"/>
        <w:rPr>
          <w:rFonts w:eastAsia="宋体" w:cs="宋体"/>
          <w:color w:val="auto"/>
          <w:sz w:val="21"/>
          <w:highlight w:val="none"/>
        </w:rPr>
      </w:pPr>
      <w:r>
        <w:rPr>
          <w:rFonts w:hint="eastAsia" w:eastAsia="宋体" w:cs="宋体"/>
          <w:color w:val="auto"/>
          <w:sz w:val="21"/>
          <w:highlight w:val="none"/>
        </w:rPr>
        <w:t>1.2.1　本招标项目的资金来源：见投标人须知前附表。</w:t>
      </w:r>
    </w:p>
    <w:p>
      <w:pPr>
        <w:pStyle w:val="120"/>
        <w:spacing w:line="360" w:lineRule="auto"/>
        <w:rPr>
          <w:rFonts w:eastAsia="宋体" w:cs="宋体"/>
          <w:color w:val="auto"/>
          <w:sz w:val="21"/>
          <w:highlight w:val="none"/>
        </w:rPr>
      </w:pPr>
      <w:r>
        <w:rPr>
          <w:rFonts w:hint="eastAsia" w:eastAsia="宋体" w:cs="宋体"/>
          <w:color w:val="auto"/>
          <w:sz w:val="21"/>
          <w:highlight w:val="none"/>
        </w:rPr>
        <w:t>1.2.2　本招标项目的出资比例：见投标人须知前附表。</w:t>
      </w:r>
    </w:p>
    <w:p>
      <w:pPr>
        <w:pStyle w:val="120"/>
        <w:spacing w:line="360" w:lineRule="auto"/>
        <w:rPr>
          <w:rFonts w:eastAsia="宋体" w:cs="宋体"/>
          <w:color w:val="auto"/>
          <w:sz w:val="21"/>
          <w:highlight w:val="none"/>
        </w:rPr>
      </w:pPr>
      <w:r>
        <w:rPr>
          <w:rFonts w:hint="eastAsia" w:eastAsia="宋体" w:cs="宋体"/>
          <w:color w:val="auto"/>
          <w:sz w:val="21"/>
          <w:highlight w:val="none"/>
        </w:rPr>
        <w:t>1.2.3　本招标项目的资金落实情况：见投标人须知前附表。</w:t>
      </w:r>
    </w:p>
    <w:p>
      <w:pPr>
        <w:pStyle w:val="119"/>
        <w:spacing w:line="360" w:lineRule="auto"/>
        <w:rPr>
          <w:rFonts w:eastAsia="宋体" w:cs="宋体"/>
          <w:color w:val="auto"/>
          <w:sz w:val="21"/>
          <w:highlight w:val="none"/>
        </w:rPr>
      </w:pPr>
      <w:bookmarkStart w:id="80" w:name="_Toc17853_WPSOffice_Level3"/>
      <w:bookmarkStart w:id="81" w:name="_Toc14300_WPSOffice_Level3"/>
      <w:r>
        <w:rPr>
          <w:rFonts w:hint="eastAsia" w:eastAsia="宋体" w:cs="宋体"/>
          <w:color w:val="auto"/>
          <w:sz w:val="21"/>
          <w:highlight w:val="none"/>
        </w:rPr>
        <w:t>1.3　招标范围、服务期限和质量要求</w:t>
      </w:r>
      <w:bookmarkEnd w:id="80"/>
      <w:bookmarkEnd w:id="81"/>
    </w:p>
    <w:p>
      <w:pPr>
        <w:pStyle w:val="120"/>
        <w:spacing w:line="360" w:lineRule="auto"/>
        <w:rPr>
          <w:rFonts w:eastAsia="宋体" w:cs="宋体"/>
          <w:color w:val="auto"/>
          <w:sz w:val="21"/>
          <w:highlight w:val="none"/>
        </w:rPr>
      </w:pPr>
      <w:r>
        <w:rPr>
          <w:rFonts w:hint="eastAsia" w:eastAsia="宋体" w:cs="宋体"/>
          <w:color w:val="auto"/>
          <w:sz w:val="21"/>
          <w:highlight w:val="none"/>
        </w:rPr>
        <w:t>1.3.1　本项目的招标范围：见投标人须知前附表。</w:t>
      </w:r>
    </w:p>
    <w:p>
      <w:pPr>
        <w:pStyle w:val="120"/>
        <w:spacing w:line="360" w:lineRule="auto"/>
        <w:rPr>
          <w:rFonts w:eastAsia="宋体" w:cs="宋体"/>
          <w:color w:val="auto"/>
          <w:sz w:val="21"/>
          <w:highlight w:val="none"/>
        </w:rPr>
      </w:pPr>
      <w:r>
        <w:rPr>
          <w:rFonts w:hint="eastAsia" w:eastAsia="宋体" w:cs="宋体"/>
          <w:color w:val="auto"/>
          <w:sz w:val="21"/>
          <w:highlight w:val="none"/>
        </w:rPr>
        <w:t>1.3.2　本项目的服务期限：见投标人须知前附表。</w:t>
      </w:r>
    </w:p>
    <w:p>
      <w:pPr>
        <w:pStyle w:val="120"/>
        <w:spacing w:line="360" w:lineRule="auto"/>
        <w:rPr>
          <w:rFonts w:eastAsia="宋体" w:cs="宋体"/>
          <w:color w:val="auto"/>
          <w:sz w:val="21"/>
          <w:highlight w:val="none"/>
        </w:rPr>
      </w:pPr>
      <w:r>
        <w:rPr>
          <w:rFonts w:hint="eastAsia" w:eastAsia="宋体" w:cs="宋体"/>
          <w:color w:val="auto"/>
          <w:sz w:val="21"/>
          <w:highlight w:val="none"/>
        </w:rPr>
        <w:t>1.3.3　本项目的质量要求：见投标人须知前附表。</w:t>
      </w:r>
    </w:p>
    <w:p>
      <w:pPr>
        <w:pStyle w:val="119"/>
        <w:spacing w:line="360" w:lineRule="auto"/>
        <w:rPr>
          <w:rFonts w:eastAsia="宋体" w:cs="宋体"/>
          <w:color w:val="auto"/>
          <w:sz w:val="21"/>
          <w:highlight w:val="none"/>
        </w:rPr>
      </w:pPr>
      <w:bookmarkStart w:id="82" w:name="_Toc3001_WPSOffice_Level3"/>
      <w:bookmarkStart w:id="83" w:name="_Toc9256_WPSOffice_Level3"/>
      <w:r>
        <w:rPr>
          <w:rFonts w:hint="eastAsia" w:eastAsia="宋体" w:cs="宋体"/>
          <w:color w:val="auto"/>
          <w:sz w:val="21"/>
          <w:highlight w:val="none"/>
        </w:rPr>
        <w:t>1.4　投标人</w:t>
      </w:r>
      <w:bookmarkEnd w:id="82"/>
      <w:bookmarkEnd w:id="83"/>
    </w:p>
    <w:p>
      <w:pPr>
        <w:pStyle w:val="120"/>
        <w:spacing w:line="360" w:lineRule="auto"/>
        <w:rPr>
          <w:rFonts w:eastAsia="宋体" w:cs="宋体"/>
          <w:color w:val="auto"/>
          <w:sz w:val="21"/>
          <w:highlight w:val="none"/>
        </w:rPr>
      </w:pPr>
      <w:r>
        <w:rPr>
          <w:rFonts w:hint="eastAsia" w:eastAsia="宋体" w:cs="宋体"/>
          <w:color w:val="auto"/>
          <w:sz w:val="21"/>
          <w:highlight w:val="none"/>
        </w:rPr>
        <w:t>1.4.1　</w:t>
      </w:r>
      <w:r>
        <w:rPr>
          <w:rFonts w:hint="eastAsia" w:eastAsia="宋体" w:cs="宋体"/>
          <w:snapToGrid w:val="0"/>
          <w:color w:val="auto"/>
          <w:sz w:val="21"/>
          <w:highlight w:val="none"/>
        </w:rPr>
        <w:t>投标人资质条件、能力和信誉</w:t>
      </w:r>
      <w:r>
        <w:rPr>
          <w:rFonts w:hint="eastAsia" w:eastAsia="宋体" w:cs="宋体"/>
          <w:color w:val="auto"/>
          <w:sz w:val="21"/>
          <w:highlight w:val="none"/>
        </w:rPr>
        <w:t>。</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    见投标人须知前附表。</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1.4.2  </w:t>
      </w:r>
      <w:r>
        <w:rPr>
          <w:rFonts w:hint="eastAsia" w:eastAsia="宋体" w:cs="宋体"/>
          <w:snapToGrid w:val="0"/>
          <w:color w:val="auto"/>
          <w:sz w:val="21"/>
          <w:highlight w:val="none"/>
        </w:rPr>
        <w:t>是否接受联合体投标：不接受。</w:t>
      </w:r>
    </w:p>
    <w:p>
      <w:pPr>
        <w:pStyle w:val="120"/>
        <w:spacing w:line="360" w:lineRule="auto"/>
        <w:rPr>
          <w:rFonts w:eastAsia="宋体" w:cs="宋体"/>
          <w:color w:val="auto"/>
          <w:sz w:val="21"/>
          <w:highlight w:val="none"/>
        </w:rPr>
      </w:pPr>
      <w:r>
        <w:rPr>
          <w:rFonts w:hint="eastAsia" w:eastAsia="宋体" w:cs="宋体"/>
          <w:color w:val="auto"/>
          <w:sz w:val="21"/>
          <w:highlight w:val="none"/>
        </w:rPr>
        <w:t>1.4.3　投标人不得存在下列情形之一：</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（1）为招标人不具有独立法人资格的附属机构（单位）； </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（2）为本项目提供招标代理服务的； </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（3）被责令停业的； </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（4）被暂停或取消投标资格的； </w:t>
      </w:r>
    </w:p>
    <w:p>
      <w:pPr>
        <w:pStyle w:val="120"/>
        <w:spacing w:line="360" w:lineRule="auto"/>
        <w:rPr>
          <w:rFonts w:eastAsia="宋体" w:cs="宋体"/>
          <w:color w:val="auto"/>
          <w:sz w:val="21"/>
          <w:highlight w:val="none"/>
        </w:rPr>
      </w:pPr>
      <w:r>
        <w:rPr>
          <w:rFonts w:hint="eastAsia" w:eastAsia="宋体" w:cs="宋体"/>
          <w:color w:val="auto"/>
          <w:sz w:val="21"/>
          <w:highlight w:val="none"/>
        </w:rPr>
        <w:t>（5）财产被接管或冻结的；</w:t>
      </w:r>
    </w:p>
    <w:p>
      <w:pPr>
        <w:pStyle w:val="120"/>
        <w:spacing w:line="360" w:lineRule="auto"/>
        <w:rPr>
          <w:rFonts w:eastAsia="宋体" w:cs="宋体"/>
          <w:color w:val="auto"/>
          <w:sz w:val="21"/>
          <w:highlight w:val="none"/>
        </w:rPr>
      </w:pPr>
      <w:r>
        <w:rPr>
          <w:rFonts w:hint="eastAsia" w:eastAsia="宋体" w:cs="宋体"/>
          <w:color w:val="auto"/>
          <w:sz w:val="21"/>
          <w:highlight w:val="none"/>
        </w:rPr>
        <w:t>（6）在最近三年内有骗取中标或严重违约或重大质量问题的；</w:t>
      </w:r>
    </w:p>
    <w:p>
      <w:pPr>
        <w:pStyle w:val="120"/>
        <w:spacing w:line="360" w:lineRule="auto"/>
        <w:rPr>
          <w:rFonts w:eastAsia="宋体" w:cs="宋体"/>
          <w:color w:val="auto"/>
          <w:sz w:val="21"/>
          <w:highlight w:val="none"/>
        </w:rPr>
      </w:pPr>
      <w:r>
        <w:rPr>
          <w:rFonts w:hint="eastAsia" w:eastAsia="宋体" w:cs="宋体"/>
          <w:color w:val="auto"/>
          <w:sz w:val="21"/>
          <w:highlight w:val="none"/>
        </w:rPr>
        <w:t>（7）法律法规规定的其他不宜参与投标的情况。</w:t>
      </w:r>
    </w:p>
    <w:p>
      <w:pPr>
        <w:pStyle w:val="119"/>
        <w:spacing w:line="360" w:lineRule="auto"/>
        <w:rPr>
          <w:rFonts w:eastAsia="宋体" w:cs="宋体"/>
          <w:color w:val="auto"/>
          <w:sz w:val="21"/>
          <w:highlight w:val="none"/>
        </w:rPr>
      </w:pPr>
      <w:bookmarkStart w:id="84" w:name="_Toc17222_WPSOffice_Level3"/>
      <w:bookmarkStart w:id="85" w:name="_Toc27654_WPSOffice_Level3"/>
      <w:r>
        <w:rPr>
          <w:rFonts w:hint="eastAsia" w:eastAsia="宋体" w:cs="宋体"/>
          <w:color w:val="auto"/>
          <w:sz w:val="21"/>
          <w:highlight w:val="none"/>
        </w:rPr>
        <w:t>1.5　费用承担</w:t>
      </w:r>
      <w:bookmarkEnd w:id="84"/>
      <w:bookmarkEnd w:id="85"/>
    </w:p>
    <w:p>
      <w:pPr>
        <w:pStyle w:val="120"/>
        <w:spacing w:line="360" w:lineRule="auto"/>
        <w:rPr>
          <w:rFonts w:eastAsia="宋体" w:cs="宋体"/>
          <w:color w:val="auto"/>
          <w:sz w:val="21"/>
          <w:highlight w:val="none"/>
        </w:rPr>
      </w:pPr>
      <w:r>
        <w:rPr>
          <w:rFonts w:hint="eastAsia" w:eastAsia="宋体" w:cs="宋体"/>
          <w:color w:val="auto"/>
          <w:sz w:val="21"/>
          <w:highlight w:val="none"/>
        </w:rPr>
        <w:t>投标人准备和参加投标活动发生的费用自理。</w:t>
      </w:r>
    </w:p>
    <w:p>
      <w:pPr>
        <w:pStyle w:val="119"/>
        <w:spacing w:line="360" w:lineRule="auto"/>
        <w:rPr>
          <w:rFonts w:eastAsia="宋体" w:cs="宋体"/>
          <w:color w:val="auto"/>
          <w:sz w:val="21"/>
          <w:highlight w:val="none"/>
        </w:rPr>
      </w:pPr>
      <w:bookmarkStart w:id="86" w:name="_Toc12028_WPSOffice_Level3"/>
      <w:bookmarkStart w:id="87" w:name="_Toc10274_WPSOffice_Level3"/>
      <w:r>
        <w:rPr>
          <w:rFonts w:hint="eastAsia" w:eastAsia="宋体" w:cs="宋体"/>
          <w:color w:val="auto"/>
          <w:sz w:val="21"/>
          <w:highlight w:val="none"/>
        </w:rPr>
        <w:t>1.6　保密</w:t>
      </w:r>
      <w:bookmarkEnd w:id="86"/>
      <w:bookmarkEnd w:id="87"/>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参与招标投标活动的各方应对招标文件和投标文件中的商业和技术等秘密保密，违者应对由此造成的后果承担法律责任。 </w:t>
      </w:r>
    </w:p>
    <w:p>
      <w:pPr>
        <w:pStyle w:val="119"/>
        <w:spacing w:line="360" w:lineRule="auto"/>
        <w:rPr>
          <w:rFonts w:eastAsia="宋体" w:cs="宋体"/>
          <w:color w:val="auto"/>
          <w:sz w:val="21"/>
          <w:highlight w:val="none"/>
        </w:rPr>
      </w:pPr>
      <w:bookmarkStart w:id="88" w:name="_Toc10296_WPSOffice_Level3"/>
      <w:bookmarkStart w:id="89" w:name="_Toc2717_WPSOffice_Level3"/>
      <w:r>
        <w:rPr>
          <w:rFonts w:hint="eastAsia" w:eastAsia="宋体" w:cs="宋体"/>
          <w:color w:val="auto"/>
          <w:sz w:val="21"/>
          <w:highlight w:val="none"/>
        </w:rPr>
        <w:t>1.7　语言文字</w:t>
      </w:r>
      <w:bookmarkEnd w:id="88"/>
      <w:bookmarkEnd w:id="89"/>
    </w:p>
    <w:p>
      <w:pPr>
        <w:pStyle w:val="120"/>
        <w:spacing w:line="360" w:lineRule="auto"/>
        <w:rPr>
          <w:rFonts w:eastAsia="宋体" w:cs="宋体"/>
          <w:color w:val="auto"/>
          <w:sz w:val="21"/>
          <w:highlight w:val="none"/>
        </w:rPr>
      </w:pPr>
      <w:r>
        <w:rPr>
          <w:rFonts w:hint="eastAsia" w:eastAsia="宋体" w:cs="宋体"/>
          <w:color w:val="auto"/>
          <w:sz w:val="21"/>
          <w:highlight w:val="none"/>
        </w:rPr>
        <w:t>除专用术语外，与招标投标有关的语言均使用中文。必要时专用术语应附有中文注释。</w:t>
      </w:r>
    </w:p>
    <w:p>
      <w:pPr>
        <w:pStyle w:val="119"/>
        <w:spacing w:line="360" w:lineRule="auto"/>
        <w:rPr>
          <w:rFonts w:eastAsia="宋体" w:cs="宋体"/>
          <w:color w:val="auto"/>
          <w:sz w:val="21"/>
          <w:highlight w:val="none"/>
        </w:rPr>
      </w:pPr>
      <w:bookmarkStart w:id="90" w:name="_Toc26733_WPSOffice_Level3"/>
      <w:bookmarkStart w:id="91" w:name="_Toc28067_WPSOffice_Level3"/>
      <w:r>
        <w:rPr>
          <w:rFonts w:hint="eastAsia" w:eastAsia="宋体" w:cs="宋体"/>
          <w:color w:val="auto"/>
          <w:sz w:val="21"/>
          <w:highlight w:val="none"/>
        </w:rPr>
        <w:t>1.8　计量单位</w:t>
      </w:r>
      <w:bookmarkEnd w:id="90"/>
      <w:bookmarkEnd w:id="91"/>
    </w:p>
    <w:p>
      <w:pPr>
        <w:pStyle w:val="120"/>
        <w:spacing w:line="360" w:lineRule="auto"/>
        <w:rPr>
          <w:rFonts w:eastAsia="宋体" w:cs="宋体"/>
          <w:color w:val="auto"/>
          <w:sz w:val="21"/>
          <w:highlight w:val="none"/>
        </w:rPr>
      </w:pPr>
      <w:r>
        <w:rPr>
          <w:rFonts w:hint="eastAsia" w:eastAsia="宋体" w:cs="宋体"/>
          <w:color w:val="auto"/>
          <w:sz w:val="21"/>
          <w:highlight w:val="none"/>
        </w:rPr>
        <w:t>所有计量均采用中华人民共和国法定计量单位。</w:t>
      </w:r>
    </w:p>
    <w:p>
      <w:pPr>
        <w:pStyle w:val="119"/>
        <w:spacing w:line="360" w:lineRule="auto"/>
        <w:rPr>
          <w:rFonts w:eastAsia="宋体" w:cs="宋体"/>
          <w:color w:val="auto"/>
          <w:sz w:val="21"/>
          <w:highlight w:val="none"/>
        </w:rPr>
      </w:pPr>
      <w:bookmarkStart w:id="92" w:name="_Toc30852_WPSOffice_Level3"/>
      <w:bookmarkStart w:id="93" w:name="_Toc16665_WPSOffice_Level3"/>
      <w:r>
        <w:rPr>
          <w:rFonts w:hint="eastAsia" w:eastAsia="宋体" w:cs="宋体"/>
          <w:color w:val="auto"/>
          <w:sz w:val="21"/>
          <w:highlight w:val="none"/>
        </w:rPr>
        <w:t>1.9　踏勘现场</w:t>
      </w:r>
      <w:bookmarkEnd w:id="92"/>
      <w:bookmarkEnd w:id="93"/>
    </w:p>
    <w:p>
      <w:pPr>
        <w:pStyle w:val="120"/>
        <w:spacing w:line="360" w:lineRule="auto"/>
        <w:rPr>
          <w:rFonts w:eastAsia="宋体" w:cs="宋体"/>
          <w:color w:val="auto"/>
          <w:sz w:val="21"/>
          <w:highlight w:val="none"/>
        </w:rPr>
      </w:pPr>
      <w:r>
        <w:rPr>
          <w:rFonts w:hint="eastAsia" w:eastAsia="宋体" w:cs="宋体"/>
          <w:color w:val="auto"/>
          <w:sz w:val="21"/>
          <w:highlight w:val="none"/>
        </w:rPr>
        <w:t>1.9.1　投标人须知前附表规定组织踏勘现场的，招标人按照招标公告规定的时间和地点组织踏勘现场。</w:t>
      </w:r>
    </w:p>
    <w:p>
      <w:pPr>
        <w:pStyle w:val="120"/>
        <w:spacing w:line="360" w:lineRule="auto"/>
        <w:rPr>
          <w:rFonts w:eastAsia="宋体" w:cs="宋体"/>
          <w:color w:val="auto"/>
          <w:sz w:val="21"/>
          <w:highlight w:val="none"/>
        </w:rPr>
      </w:pPr>
      <w:r>
        <w:rPr>
          <w:rFonts w:hint="eastAsia" w:eastAsia="宋体" w:cs="宋体"/>
          <w:color w:val="auto"/>
          <w:sz w:val="21"/>
          <w:highlight w:val="none"/>
        </w:rPr>
        <w:t>1.9.2　投标人踏勘现场发生的费用自理。</w:t>
      </w:r>
    </w:p>
    <w:p>
      <w:pPr>
        <w:pStyle w:val="120"/>
        <w:spacing w:line="360" w:lineRule="auto"/>
        <w:rPr>
          <w:rFonts w:eastAsia="宋体" w:cs="宋体"/>
          <w:color w:val="auto"/>
          <w:sz w:val="21"/>
          <w:highlight w:val="none"/>
        </w:rPr>
      </w:pPr>
      <w:r>
        <w:rPr>
          <w:rFonts w:hint="eastAsia" w:eastAsia="宋体" w:cs="宋体"/>
          <w:color w:val="auto"/>
          <w:sz w:val="21"/>
          <w:highlight w:val="none"/>
        </w:rPr>
        <w:t>1.9.3　除招标人的原因外，投标人自行负责在踏勘现场中所发生的人员伤亡和财产损失。</w:t>
      </w:r>
    </w:p>
    <w:p>
      <w:pPr>
        <w:pStyle w:val="120"/>
        <w:spacing w:line="360" w:lineRule="auto"/>
        <w:rPr>
          <w:rFonts w:eastAsia="宋体" w:cs="宋体"/>
          <w:color w:val="auto"/>
          <w:sz w:val="21"/>
          <w:highlight w:val="none"/>
        </w:rPr>
      </w:pPr>
      <w:r>
        <w:rPr>
          <w:rFonts w:hint="eastAsia" w:eastAsia="宋体" w:cs="宋体"/>
          <w:color w:val="auto"/>
          <w:sz w:val="21"/>
          <w:highlight w:val="none"/>
        </w:rPr>
        <w:t>1.9.4　招标人在踏勘现场中介绍的工程场地和相关的周边环境情况，供投标人在编制投标文件时参考，招标人不对投标人据此作出的判断和决策负责。</w:t>
      </w:r>
    </w:p>
    <w:p>
      <w:pPr>
        <w:pStyle w:val="119"/>
        <w:spacing w:line="360" w:lineRule="auto"/>
        <w:rPr>
          <w:rFonts w:eastAsia="宋体" w:cs="宋体"/>
          <w:color w:val="auto"/>
          <w:sz w:val="21"/>
          <w:highlight w:val="none"/>
        </w:rPr>
      </w:pPr>
      <w:bookmarkStart w:id="94" w:name="_Toc15096_WPSOffice_Level3"/>
      <w:bookmarkStart w:id="95" w:name="_Toc6946_WPSOffice_Level3"/>
      <w:r>
        <w:rPr>
          <w:rFonts w:hint="eastAsia" w:eastAsia="宋体" w:cs="宋体"/>
          <w:color w:val="auto"/>
          <w:sz w:val="21"/>
          <w:highlight w:val="none"/>
        </w:rPr>
        <w:t>1.10　投标预备会</w:t>
      </w:r>
      <w:bookmarkEnd w:id="94"/>
      <w:bookmarkEnd w:id="95"/>
    </w:p>
    <w:p>
      <w:pPr>
        <w:pStyle w:val="120"/>
        <w:spacing w:line="360" w:lineRule="auto"/>
        <w:rPr>
          <w:rFonts w:eastAsia="宋体" w:cs="宋体"/>
          <w:color w:val="auto"/>
          <w:sz w:val="21"/>
          <w:highlight w:val="none"/>
        </w:rPr>
      </w:pPr>
      <w:r>
        <w:rPr>
          <w:rFonts w:hint="eastAsia" w:eastAsia="宋体" w:cs="宋体"/>
          <w:color w:val="auto"/>
          <w:sz w:val="21"/>
          <w:highlight w:val="none"/>
        </w:rPr>
        <w:t>1.10.1　投标人须知前附表规定召开投标预备会的，招标人按照招标公告规定的时间和地点召开投标预备会。</w:t>
      </w:r>
    </w:p>
    <w:p>
      <w:pPr>
        <w:pStyle w:val="120"/>
        <w:spacing w:line="360" w:lineRule="auto"/>
        <w:rPr>
          <w:rFonts w:eastAsia="宋体" w:cs="宋体"/>
          <w:color w:val="auto"/>
          <w:sz w:val="21"/>
          <w:highlight w:val="none"/>
        </w:rPr>
      </w:pPr>
      <w:r>
        <w:rPr>
          <w:rFonts w:hint="eastAsia" w:eastAsia="宋体" w:cs="宋体"/>
          <w:color w:val="auto"/>
          <w:sz w:val="21"/>
          <w:highlight w:val="none"/>
        </w:rPr>
        <w:t>1.10.2　在投标预备会召开前，投标人应以书面形式（包括信函、电报、传真等可以有形地表现所载内容的形式，下同）将需要招标人澄清的问题送达招标人。</w:t>
      </w:r>
    </w:p>
    <w:p>
      <w:pPr>
        <w:pStyle w:val="120"/>
        <w:spacing w:line="360" w:lineRule="auto"/>
        <w:rPr>
          <w:rFonts w:eastAsia="宋体" w:cs="宋体"/>
          <w:color w:val="auto"/>
          <w:sz w:val="21"/>
          <w:highlight w:val="none"/>
        </w:rPr>
      </w:pPr>
      <w:r>
        <w:rPr>
          <w:rFonts w:hint="eastAsia" w:eastAsia="宋体" w:cs="宋体"/>
          <w:color w:val="auto"/>
          <w:sz w:val="21"/>
          <w:highlight w:val="none"/>
        </w:rPr>
        <w:t>1.10.3　在投标人须知前附表规定的投标截止时间15天前，招标人将对投标人所提问题的澄清，以书面形式通知所有购买招标文件的投标人。该澄清通知为招标文件的组成部分。</w:t>
      </w:r>
    </w:p>
    <w:p>
      <w:pPr>
        <w:pStyle w:val="119"/>
        <w:spacing w:line="360" w:lineRule="auto"/>
        <w:rPr>
          <w:rFonts w:eastAsia="宋体" w:cs="宋体"/>
          <w:color w:val="auto"/>
          <w:sz w:val="21"/>
          <w:highlight w:val="none"/>
        </w:rPr>
      </w:pPr>
      <w:bookmarkStart w:id="96" w:name="_Toc3462_WPSOffice_Level3"/>
      <w:bookmarkStart w:id="97" w:name="_Toc4363_WPSOffice_Level3"/>
      <w:r>
        <w:rPr>
          <w:rFonts w:hint="eastAsia" w:eastAsia="宋体" w:cs="宋体"/>
          <w:color w:val="auto"/>
          <w:sz w:val="21"/>
          <w:highlight w:val="none"/>
        </w:rPr>
        <w:t>1.11　分包</w:t>
      </w:r>
      <w:bookmarkEnd w:id="96"/>
      <w:bookmarkEnd w:id="97"/>
    </w:p>
    <w:p>
      <w:pPr>
        <w:pStyle w:val="120"/>
        <w:spacing w:line="360" w:lineRule="auto"/>
        <w:rPr>
          <w:rFonts w:eastAsia="宋体" w:cs="宋体"/>
          <w:color w:val="auto"/>
          <w:sz w:val="21"/>
          <w:highlight w:val="none"/>
        </w:rPr>
      </w:pPr>
      <w:r>
        <w:rPr>
          <w:rFonts w:hint="eastAsia" w:eastAsia="宋体" w:cs="宋体"/>
          <w:color w:val="auto"/>
          <w:sz w:val="21"/>
          <w:highlight w:val="none"/>
        </w:rPr>
        <w:t>不允许。</w:t>
      </w:r>
    </w:p>
    <w:p>
      <w:pPr>
        <w:pStyle w:val="119"/>
        <w:spacing w:line="360" w:lineRule="auto"/>
        <w:rPr>
          <w:rFonts w:eastAsia="宋体" w:cs="宋体"/>
          <w:color w:val="auto"/>
          <w:sz w:val="21"/>
          <w:highlight w:val="none"/>
        </w:rPr>
      </w:pPr>
      <w:bookmarkStart w:id="98" w:name="_Toc21171_WPSOffice_Level3"/>
      <w:bookmarkStart w:id="99" w:name="_Toc16012_WPSOffice_Level3"/>
      <w:r>
        <w:rPr>
          <w:rFonts w:hint="eastAsia" w:eastAsia="宋体" w:cs="宋体"/>
          <w:color w:val="auto"/>
          <w:sz w:val="21"/>
          <w:highlight w:val="none"/>
        </w:rPr>
        <w:t>1.12　偏离</w:t>
      </w:r>
      <w:bookmarkEnd w:id="98"/>
      <w:bookmarkEnd w:id="99"/>
    </w:p>
    <w:p>
      <w:pPr>
        <w:pStyle w:val="120"/>
        <w:spacing w:line="360" w:lineRule="auto"/>
        <w:rPr>
          <w:rFonts w:eastAsia="宋体" w:cs="宋体"/>
          <w:color w:val="auto"/>
          <w:sz w:val="21"/>
          <w:highlight w:val="none"/>
        </w:rPr>
      </w:pPr>
      <w:r>
        <w:rPr>
          <w:rFonts w:hint="eastAsia" w:eastAsia="宋体" w:cs="宋体"/>
          <w:color w:val="auto"/>
          <w:sz w:val="21"/>
          <w:highlight w:val="none"/>
        </w:rPr>
        <w:t>不允许。</w:t>
      </w:r>
    </w:p>
    <w:p>
      <w:pPr>
        <w:pStyle w:val="151"/>
        <w:spacing w:beforeLines="0" w:afterLines="0"/>
        <w:outlineLvl w:val="0"/>
        <w:rPr>
          <w:rFonts w:ascii="宋体" w:hAnsi="宋体" w:eastAsia="宋体" w:cs="宋体"/>
          <w:color w:val="auto"/>
          <w:highlight w:val="none"/>
        </w:rPr>
      </w:pPr>
      <w:bookmarkStart w:id="100" w:name="_Toc19778_WPSOffice_Level2"/>
      <w:r>
        <w:rPr>
          <w:rFonts w:hint="eastAsia" w:ascii="宋体" w:hAnsi="宋体" w:eastAsia="宋体" w:cs="宋体"/>
          <w:color w:val="auto"/>
          <w:highlight w:val="none"/>
        </w:rPr>
        <w:t>2　招标文件</w:t>
      </w:r>
      <w:bookmarkEnd w:id="100"/>
    </w:p>
    <w:p>
      <w:pPr>
        <w:pStyle w:val="119"/>
        <w:spacing w:line="360" w:lineRule="auto"/>
        <w:rPr>
          <w:rFonts w:eastAsia="宋体" w:cs="宋体"/>
          <w:color w:val="auto"/>
          <w:sz w:val="21"/>
          <w:highlight w:val="none"/>
        </w:rPr>
      </w:pPr>
      <w:bookmarkStart w:id="101" w:name="_Toc21832_WPSOffice_Level3"/>
      <w:bookmarkStart w:id="102" w:name="_Toc3611_WPSOffice_Level3"/>
      <w:r>
        <w:rPr>
          <w:rFonts w:hint="eastAsia" w:eastAsia="宋体" w:cs="宋体"/>
          <w:color w:val="auto"/>
          <w:sz w:val="21"/>
          <w:highlight w:val="none"/>
        </w:rPr>
        <w:t>2.1　招标文件的组成</w:t>
      </w:r>
      <w:bookmarkEnd w:id="101"/>
      <w:bookmarkEnd w:id="102"/>
    </w:p>
    <w:p>
      <w:pPr>
        <w:pStyle w:val="120"/>
        <w:spacing w:line="360" w:lineRule="auto"/>
        <w:rPr>
          <w:rFonts w:eastAsia="宋体" w:cs="宋体"/>
          <w:color w:val="auto"/>
          <w:sz w:val="21"/>
          <w:highlight w:val="none"/>
        </w:rPr>
      </w:pPr>
      <w:r>
        <w:rPr>
          <w:rFonts w:hint="eastAsia" w:eastAsia="宋体" w:cs="宋体"/>
          <w:color w:val="auto"/>
          <w:sz w:val="21"/>
          <w:highlight w:val="none"/>
        </w:rPr>
        <w:t>本招标文件包括：</w:t>
      </w:r>
    </w:p>
    <w:p>
      <w:pPr>
        <w:pStyle w:val="120"/>
        <w:spacing w:line="360" w:lineRule="auto"/>
        <w:rPr>
          <w:rFonts w:eastAsia="宋体" w:cs="宋体"/>
          <w:color w:val="auto"/>
          <w:sz w:val="21"/>
          <w:highlight w:val="none"/>
        </w:rPr>
      </w:pPr>
      <w:r>
        <w:rPr>
          <w:rFonts w:hint="eastAsia" w:eastAsia="宋体" w:cs="宋体"/>
          <w:color w:val="auto"/>
          <w:sz w:val="21"/>
          <w:highlight w:val="none"/>
        </w:rPr>
        <w:t>（1）招标公告；</w:t>
      </w:r>
    </w:p>
    <w:p>
      <w:pPr>
        <w:pStyle w:val="120"/>
        <w:spacing w:line="360" w:lineRule="auto"/>
        <w:rPr>
          <w:rFonts w:eastAsia="宋体" w:cs="宋体"/>
          <w:color w:val="auto"/>
          <w:sz w:val="21"/>
          <w:highlight w:val="none"/>
        </w:rPr>
      </w:pPr>
      <w:r>
        <w:rPr>
          <w:rFonts w:hint="eastAsia" w:eastAsia="宋体" w:cs="宋体"/>
          <w:color w:val="auto"/>
          <w:sz w:val="21"/>
          <w:highlight w:val="none"/>
        </w:rPr>
        <w:t>（2）投标人须知；</w:t>
      </w:r>
    </w:p>
    <w:p>
      <w:pPr>
        <w:pStyle w:val="120"/>
        <w:spacing w:line="360" w:lineRule="auto"/>
        <w:rPr>
          <w:rFonts w:eastAsia="宋体" w:cs="宋体"/>
          <w:color w:val="auto"/>
          <w:sz w:val="21"/>
          <w:highlight w:val="none"/>
        </w:rPr>
      </w:pPr>
      <w:r>
        <w:rPr>
          <w:rFonts w:hint="eastAsia" w:eastAsia="宋体" w:cs="宋体"/>
          <w:color w:val="auto"/>
          <w:sz w:val="21"/>
          <w:highlight w:val="none"/>
        </w:rPr>
        <w:t>（3）评标办法；</w:t>
      </w:r>
    </w:p>
    <w:p>
      <w:pPr>
        <w:pStyle w:val="120"/>
        <w:spacing w:line="360" w:lineRule="auto"/>
        <w:rPr>
          <w:rFonts w:eastAsia="宋体" w:cs="宋体"/>
          <w:color w:val="auto"/>
          <w:sz w:val="21"/>
          <w:highlight w:val="none"/>
        </w:rPr>
      </w:pPr>
      <w:r>
        <w:rPr>
          <w:rFonts w:hint="eastAsia" w:eastAsia="宋体" w:cs="宋体"/>
          <w:color w:val="auto"/>
          <w:sz w:val="21"/>
          <w:highlight w:val="none"/>
        </w:rPr>
        <w:t>（4）合同条款及格式；</w:t>
      </w:r>
    </w:p>
    <w:p>
      <w:pPr>
        <w:pStyle w:val="120"/>
        <w:spacing w:line="360" w:lineRule="auto"/>
        <w:rPr>
          <w:rFonts w:eastAsia="宋体" w:cs="宋体"/>
          <w:color w:val="auto"/>
          <w:sz w:val="21"/>
          <w:highlight w:val="none"/>
        </w:rPr>
      </w:pPr>
      <w:r>
        <w:rPr>
          <w:rFonts w:hint="eastAsia" w:eastAsia="宋体" w:cs="宋体"/>
          <w:color w:val="auto"/>
          <w:sz w:val="21"/>
          <w:highlight w:val="none"/>
        </w:rPr>
        <w:t>（7）</w:t>
      </w:r>
      <w:r>
        <w:rPr>
          <w:rFonts w:hint="eastAsia" w:eastAsia="宋体" w:cs="宋体"/>
          <w:color w:val="auto"/>
          <w:sz w:val="21"/>
          <w:highlight w:val="none"/>
          <w:lang w:val="en-US" w:eastAsia="zh-CN"/>
        </w:rPr>
        <w:t>委托人需求</w:t>
      </w:r>
      <w:r>
        <w:rPr>
          <w:rFonts w:hint="eastAsia" w:eastAsia="宋体" w:cs="宋体"/>
          <w:color w:val="auto"/>
          <w:sz w:val="21"/>
          <w:highlight w:val="none"/>
        </w:rPr>
        <w:t xml:space="preserve">； </w:t>
      </w:r>
    </w:p>
    <w:p>
      <w:pPr>
        <w:pStyle w:val="120"/>
        <w:spacing w:line="360" w:lineRule="auto"/>
        <w:rPr>
          <w:rFonts w:eastAsia="宋体" w:cs="宋体"/>
          <w:color w:val="auto"/>
          <w:sz w:val="21"/>
          <w:highlight w:val="none"/>
        </w:rPr>
      </w:pPr>
      <w:r>
        <w:rPr>
          <w:rFonts w:hint="eastAsia" w:eastAsia="宋体" w:cs="宋体"/>
          <w:color w:val="auto"/>
          <w:sz w:val="21"/>
          <w:highlight w:val="none"/>
        </w:rPr>
        <w:t>（8）投标文件格式；</w:t>
      </w:r>
    </w:p>
    <w:p>
      <w:pPr>
        <w:pStyle w:val="120"/>
        <w:spacing w:line="360" w:lineRule="auto"/>
        <w:rPr>
          <w:rFonts w:eastAsia="宋体" w:cs="宋体"/>
          <w:color w:val="auto"/>
          <w:sz w:val="21"/>
          <w:highlight w:val="none"/>
        </w:rPr>
      </w:pPr>
      <w:r>
        <w:rPr>
          <w:rFonts w:hint="eastAsia" w:eastAsia="宋体" w:cs="宋体"/>
          <w:color w:val="auto"/>
          <w:sz w:val="21"/>
          <w:highlight w:val="none"/>
        </w:rPr>
        <w:t>（9）投标人须知前附表规定的其他材料。</w:t>
      </w:r>
    </w:p>
    <w:p>
      <w:pPr>
        <w:pStyle w:val="120"/>
        <w:spacing w:line="360" w:lineRule="auto"/>
        <w:rPr>
          <w:rFonts w:eastAsia="宋体" w:cs="宋体"/>
          <w:color w:val="auto"/>
          <w:sz w:val="21"/>
          <w:highlight w:val="none"/>
        </w:rPr>
      </w:pPr>
      <w:r>
        <w:rPr>
          <w:rFonts w:hint="eastAsia" w:eastAsia="宋体" w:cs="宋体"/>
          <w:color w:val="auto"/>
          <w:sz w:val="21"/>
          <w:highlight w:val="none"/>
        </w:rPr>
        <w:t>根据本章第1.10款、第2.2款和第2.3款对招标文件所作的澄清、修改，构成招标文件的组成部分。</w:t>
      </w:r>
    </w:p>
    <w:p>
      <w:pPr>
        <w:pStyle w:val="119"/>
        <w:spacing w:line="360" w:lineRule="auto"/>
        <w:rPr>
          <w:rFonts w:eastAsia="宋体" w:cs="宋体"/>
          <w:color w:val="auto"/>
          <w:sz w:val="21"/>
          <w:highlight w:val="none"/>
        </w:rPr>
      </w:pPr>
      <w:bookmarkStart w:id="103" w:name="_Toc8654_WPSOffice_Level3"/>
      <w:bookmarkStart w:id="104" w:name="_Toc8570_WPSOffice_Level3"/>
      <w:r>
        <w:rPr>
          <w:rFonts w:hint="eastAsia" w:eastAsia="宋体" w:cs="宋体"/>
          <w:color w:val="auto"/>
          <w:sz w:val="21"/>
          <w:highlight w:val="none"/>
        </w:rPr>
        <w:t>2.2　招标文件的澄清</w:t>
      </w:r>
      <w:bookmarkEnd w:id="103"/>
      <w:bookmarkEnd w:id="104"/>
    </w:p>
    <w:p>
      <w:pPr>
        <w:pStyle w:val="120"/>
        <w:spacing w:line="360" w:lineRule="auto"/>
        <w:rPr>
          <w:rFonts w:eastAsia="宋体" w:cs="宋体"/>
          <w:color w:val="auto"/>
          <w:sz w:val="21"/>
          <w:highlight w:val="none"/>
        </w:rPr>
      </w:pPr>
      <w:r>
        <w:rPr>
          <w:rFonts w:hint="eastAsia" w:eastAsia="宋体" w:cs="宋体"/>
          <w:color w:val="auto"/>
          <w:sz w:val="21"/>
          <w:highlight w:val="none"/>
        </w:rPr>
        <w:t>2.2.1　投标人应仔细阅读和检查招标文件的全部内容，若有疑问须在投标人须知前附表规定的时间前在“重庆市公共资源交易网（www.cqggzy.com）”提出，超出此时间规定，招标人不作任何形式的答疑。</w:t>
      </w:r>
    </w:p>
    <w:p>
      <w:pPr>
        <w:pStyle w:val="120"/>
        <w:spacing w:line="360" w:lineRule="auto"/>
        <w:rPr>
          <w:rFonts w:eastAsia="宋体" w:cs="宋体"/>
          <w:color w:val="auto"/>
          <w:sz w:val="21"/>
          <w:highlight w:val="none"/>
        </w:rPr>
      </w:pPr>
      <w:r>
        <w:rPr>
          <w:rFonts w:hint="eastAsia" w:eastAsia="宋体" w:cs="宋体"/>
          <w:color w:val="auto"/>
          <w:sz w:val="21"/>
          <w:highlight w:val="none"/>
        </w:rPr>
        <w:t>2.2.2　招标人的答疑或澄清通知将在投标人须知前附表规定的时间前在重庆市公共资源交易网（www.cqggzy.com）上发布，但不指明澄清问题的来源。如果澄清通知发出的时间距投标截止时间不足15天，投标截止时间应相应延长。</w:t>
      </w:r>
    </w:p>
    <w:p>
      <w:pPr>
        <w:pStyle w:val="120"/>
        <w:spacing w:line="360" w:lineRule="auto"/>
        <w:rPr>
          <w:rFonts w:eastAsia="宋体" w:cs="宋体"/>
          <w:color w:val="auto"/>
          <w:sz w:val="21"/>
          <w:highlight w:val="none"/>
        </w:rPr>
      </w:pPr>
      <w:r>
        <w:rPr>
          <w:rFonts w:hint="eastAsia" w:eastAsia="宋体" w:cs="宋体"/>
          <w:color w:val="auto"/>
          <w:sz w:val="21"/>
          <w:highlight w:val="none"/>
        </w:rPr>
        <w:t>2.2.3　投标人不论是否下载招标文件的答疑或澄清通知，都视为投标人已知晓招标文件澄清通知的全部内容。</w:t>
      </w:r>
    </w:p>
    <w:p>
      <w:pPr>
        <w:pStyle w:val="119"/>
        <w:spacing w:line="360" w:lineRule="auto"/>
        <w:rPr>
          <w:rFonts w:eastAsia="宋体" w:cs="宋体"/>
          <w:color w:val="auto"/>
          <w:sz w:val="21"/>
          <w:highlight w:val="none"/>
        </w:rPr>
      </w:pPr>
      <w:bookmarkStart w:id="105" w:name="_Toc9068_WPSOffice_Level3"/>
      <w:bookmarkStart w:id="106" w:name="_Toc32410_WPSOffice_Level3"/>
      <w:r>
        <w:rPr>
          <w:rFonts w:hint="eastAsia" w:eastAsia="宋体" w:cs="宋体"/>
          <w:color w:val="auto"/>
          <w:sz w:val="21"/>
          <w:highlight w:val="none"/>
        </w:rPr>
        <w:t>2.3　招标文件的修改</w:t>
      </w:r>
      <w:bookmarkEnd w:id="105"/>
      <w:bookmarkEnd w:id="106"/>
    </w:p>
    <w:p>
      <w:pPr>
        <w:pStyle w:val="120"/>
        <w:spacing w:line="360" w:lineRule="auto"/>
        <w:rPr>
          <w:rFonts w:eastAsia="宋体" w:cs="宋体"/>
          <w:color w:val="auto"/>
          <w:sz w:val="21"/>
          <w:highlight w:val="none"/>
        </w:rPr>
      </w:pPr>
      <w:r>
        <w:rPr>
          <w:rFonts w:hint="eastAsia" w:eastAsia="宋体" w:cs="宋体"/>
          <w:color w:val="auto"/>
          <w:sz w:val="21"/>
          <w:highlight w:val="none"/>
        </w:rPr>
        <w:t>2.3.1　在投标人须知前附表规定的时间前，招标人可以以书面形式修改招标文件，并在重庆市公共资源交易网（www.cqggzy.com）上发布。投标人不论是否下载招标文件的修改通知，都视为投标人已知晓招标文件修改通知的全部内容。</w:t>
      </w:r>
    </w:p>
    <w:p>
      <w:pPr>
        <w:pStyle w:val="120"/>
        <w:spacing w:line="360" w:lineRule="auto"/>
        <w:rPr>
          <w:rFonts w:eastAsia="宋体" w:cs="宋体"/>
          <w:color w:val="auto"/>
          <w:sz w:val="21"/>
          <w:highlight w:val="none"/>
        </w:rPr>
      </w:pPr>
      <w:r>
        <w:rPr>
          <w:rFonts w:hint="eastAsia" w:eastAsia="宋体" w:cs="宋体"/>
          <w:color w:val="auto"/>
          <w:sz w:val="21"/>
          <w:highlight w:val="none"/>
        </w:rPr>
        <w:t>2.3.2招标人在投标截止时间前任何时候都有可能发出必要的补充通知，投标人不得拒绝。为使投标人在编制投标文件时有充分的时间对招标文件的澄清、修改、补充等内容进行研究，招标人将相应延长提交投标文件的截止时间，具体时间将在招标文件的修改、补充通知中予以明确，在此情况下，招标人和投标人的权利和义务相应延后至新的投标截止日。</w:t>
      </w:r>
    </w:p>
    <w:p>
      <w:pPr>
        <w:pStyle w:val="151"/>
        <w:spacing w:beforeLines="0" w:afterLines="0"/>
        <w:outlineLvl w:val="0"/>
        <w:rPr>
          <w:rFonts w:ascii="宋体" w:hAnsi="宋体" w:eastAsia="宋体" w:cs="宋体"/>
          <w:color w:val="auto"/>
          <w:highlight w:val="none"/>
        </w:rPr>
      </w:pPr>
      <w:bookmarkStart w:id="107" w:name="_Toc31676_WPSOffice_Level2"/>
      <w:r>
        <w:rPr>
          <w:rFonts w:hint="eastAsia" w:ascii="宋体" w:hAnsi="宋体" w:eastAsia="宋体" w:cs="宋体"/>
          <w:color w:val="auto"/>
          <w:highlight w:val="none"/>
        </w:rPr>
        <w:t>3　投标文件</w:t>
      </w:r>
      <w:bookmarkEnd w:id="107"/>
    </w:p>
    <w:p>
      <w:pPr>
        <w:pStyle w:val="119"/>
        <w:spacing w:line="360" w:lineRule="auto"/>
        <w:rPr>
          <w:rFonts w:eastAsia="宋体" w:cs="宋体"/>
          <w:color w:val="auto"/>
          <w:sz w:val="21"/>
          <w:highlight w:val="none"/>
        </w:rPr>
      </w:pPr>
      <w:bookmarkStart w:id="108" w:name="_Toc9100_WPSOffice_Level3"/>
      <w:bookmarkStart w:id="109" w:name="_Toc25303_WPSOffice_Level3"/>
      <w:r>
        <w:rPr>
          <w:rFonts w:hint="eastAsia" w:eastAsia="宋体" w:cs="宋体"/>
          <w:color w:val="auto"/>
          <w:sz w:val="21"/>
          <w:highlight w:val="none"/>
        </w:rPr>
        <w:t>3.1　投标文件的组成</w:t>
      </w:r>
      <w:bookmarkEnd w:id="108"/>
      <w:bookmarkEnd w:id="109"/>
    </w:p>
    <w:p>
      <w:pPr>
        <w:pStyle w:val="120"/>
        <w:spacing w:line="360" w:lineRule="auto"/>
        <w:rPr>
          <w:rFonts w:eastAsia="宋体" w:cs="宋体"/>
          <w:color w:val="auto"/>
          <w:sz w:val="21"/>
          <w:highlight w:val="none"/>
        </w:rPr>
      </w:pPr>
      <w:r>
        <w:rPr>
          <w:rFonts w:hint="eastAsia" w:eastAsia="宋体" w:cs="宋体"/>
          <w:color w:val="auto"/>
          <w:sz w:val="21"/>
          <w:highlight w:val="none"/>
        </w:rPr>
        <w:t>投标文件应包括下列内容：</w:t>
      </w:r>
    </w:p>
    <w:p>
      <w:pPr>
        <w:pStyle w:val="120"/>
        <w:spacing w:line="360" w:lineRule="auto"/>
        <w:rPr>
          <w:rFonts w:eastAsia="宋体" w:cs="宋体"/>
          <w:color w:val="auto"/>
          <w:sz w:val="21"/>
          <w:highlight w:val="none"/>
        </w:rPr>
      </w:pPr>
      <w:r>
        <w:rPr>
          <w:rFonts w:hint="eastAsia" w:eastAsia="宋体" w:cs="宋体"/>
          <w:color w:val="auto"/>
          <w:sz w:val="21"/>
          <w:highlight w:val="none"/>
        </w:rPr>
        <w:t>（1）投标函；</w:t>
      </w:r>
    </w:p>
    <w:p>
      <w:pPr>
        <w:pStyle w:val="120"/>
        <w:spacing w:line="360" w:lineRule="auto"/>
        <w:rPr>
          <w:rFonts w:eastAsia="宋体" w:cs="宋体"/>
          <w:color w:val="auto"/>
          <w:sz w:val="21"/>
          <w:highlight w:val="none"/>
        </w:rPr>
      </w:pPr>
      <w:r>
        <w:rPr>
          <w:rFonts w:hint="eastAsia" w:eastAsia="宋体" w:cs="宋体"/>
          <w:color w:val="auto"/>
          <w:sz w:val="21"/>
          <w:highlight w:val="none"/>
        </w:rPr>
        <w:t>（2）法定代表人</w:t>
      </w:r>
      <w:r>
        <w:rPr>
          <w:rFonts w:hint="eastAsia" w:ascii="宋体" w:hAnsi="宋体" w:eastAsia="宋体" w:cs="宋体"/>
          <w:snapToGrid w:val="0"/>
          <w:color w:val="auto"/>
          <w:sz w:val="21"/>
          <w:szCs w:val="21"/>
          <w:highlight w:val="none"/>
          <w:lang w:eastAsia="zh-CN"/>
        </w:rPr>
        <w:t>（单位负责人）</w:t>
      </w:r>
      <w:r>
        <w:rPr>
          <w:rFonts w:hint="eastAsia" w:eastAsia="宋体" w:cs="宋体"/>
          <w:color w:val="auto"/>
          <w:sz w:val="21"/>
          <w:highlight w:val="none"/>
        </w:rPr>
        <w:t>身份证明或附有法定代表人</w:t>
      </w:r>
      <w:r>
        <w:rPr>
          <w:rFonts w:hint="eastAsia" w:ascii="宋体" w:hAnsi="宋体" w:eastAsia="宋体" w:cs="宋体"/>
          <w:snapToGrid w:val="0"/>
          <w:color w:val="auto"/>
          <w:sz w:val="21"/>
          <w:szCs w:val="21"/>
          <w:highlight w:val="none"/>
          <w:lang w:eastAsia="zh-CN"/>
        </w:rPr>
        <w:t>（单位负责人）</w:t>
      </w:r>
      <w:r>
        <w:rPr>
          <w:rFonts w:hint="eastAsia" w:eastAsia="宋体" w:cs="宋体"/>
          <w:color w:val="auto"/>
          <w:sz w:val="21"/>
          <w:highlight w:val="none"/>
        </w:rPr>
        <w:t>身份证明的授权委托书；</w:t>
      </w:r>
    </w:p>
    <w:p>
      <w:pPr>
        <w:pStyle w:val="120"/>
        <w:spacing w:line="360" w:lineRule="auto"/>
        <w:rPr>
          <w:rFonts w:eastAsia="宋体" w:cs="宋体"/>
          <w:color w:val="auto"/>
          <w:sz w:val="21"/>
          <w:highlight w:val="none"/>
        </w:rPr>
      </w:pPr>
      <w:r>
        <w:rPr>
          <w:rFonts w:hint="eastAsia" w:eastAsia="宋体" w:cs="宋体"/>
          <w:color w:val="auto"/>
          <w:sz w:val="21"/>
          <w:highlight w:val="none"/>
        </w:rPr>
        <w:t>（3）投标报价清单表；</w:t>
      </w:r>
    </w:p>
    <w:p>
      <w:pPr>
        <w:pStyle w:val="120"/>
        <w:spacing w:line="360" w:lineRule="auto"/>
        <w:rPr>
          <w:rFonts w:eastAsia="宋体" w:cs="宋体"/>
          <w:color w:val="auto"/>
          <w:sz w:val="21"/>
          <w:highlight w:val="none"/>
        </w:rPr>
      </w:pPr>
      <w:r>
        <w:rPr>
          <w:rFonts w:hint="eastAsia" w:eastAsia="宋体" w:cs="宋体"/>
          <w:color w:val="auto"/>
          <w:sz w:val="21"/>
          <w:highlight w:val="none"/>
        </w:rPr>
        <w:t>（4）投标保证金；</w:t>
      </w:r>
    </w:p>
    <w:p>
      <w:pPr>
        <w:pStyle w:val="120"/>
        <w:spacing w:line="360" w:lineRule="auto"/>
        <w:rPr>
          <w:rFonts w:eastAsia="宋体" w:cs="宋体"/>
          <w:color w:val="auto"/>
          <w:sz w:val="21"/>
          <w:highlight w:val="none"/>
        </w:rPr>
      </w:pPr>
      <w:r>
        <w:rPr>
          <w:rFonts w:hint="eastAsia" w:eastAsia="宋体" w:cs="宋体"/>
          <w:color w:val="auto"/>
          <w:sz w:val="21"/>
          <w:highlight w:val="none"/>
        </w:rPr>
        <w:t>（5）</w:t>
      </w:r>
      <w:r>
        <w:rPr>
          <w:rFonts w:hint="eastAsia" w:eastAsia="宋体" w:cs="宋体"/>
          <w:snapToGrid w:val="0"/>
          <w:color w:val="auto"/>
          <w:kern w:val="0"/>
          <w:sz w:val="21"/>
          <w:highlight w:val="none"/>
        </w:rPr>
        <w:t>投标人基本情况表</w:t>
      </w:r>
      <w:r>
        <w:rPr>
          <w:rFonts w:hint="eastAsia" w:eastAsia="宋体" w:cs="宋体"/>
          <w:color w:val="auto"/>
          <w:sz w:val="21"/>
          <w:highlight w:val="none"/>
        </w:rPr>
        <w:t>；</w:t>
      </w:r>
    </w:p>
    <w:p>
      <w:pPr>
        <w:pStyle w:val="120"/>
        <w:spacing w:line="360" w:lineRule="auto"/>
        <w:rPr>
          <w:rFonts w:eastAsia="宋体" w:cs="宋体"/>
          <w:color w:val="auto"/>
          <w:sz w:val="21"/>
          <w:highlight w:val="none"/>
        </w:rPr>
      </w:pPr>
      <w:r>
        <w:rPr>
          <w:rFonts w:hint="eastAsia" w:eastAsia="宋体" w:cs="宋体"/>
          <w:color w:val="auto"/>
          <w:sz w:val="21"/>
          <w:highlight w:val="none"/>
        </w:rPr>
        <w:t>（6）资格审查资料；</w:t>
      </w:r>
    </w:p>
    <w:p>
      <w:pPr>
        <w:pStyle w:val="120"/>
        <w:spacing w:line="360" w:lineRule="auto"/>
        <w:rPr>
          <w:rFonts w:eastAsia="宋体" w:cs="宋体"/>
          <w:color w:val="auto"/>
          <w:sz w:val="21"/>
          <w:highlight w:val="none"/>
        </w:rPr>
      </w:pPr>
      <w:r>
        <w:rPr>
          <w:rFonts w:hint="eastAsia" w:eastAsia="宋体" w:cs="宋体"/>
          <w:color w:val="auto"/>
          <w:sz w:val="21"/>
          <w:highlight w:val="none"/>
        </w:rPr>
        <w:t>（7）投标人须知前附表规定的其他材料。</w:t>
      </w:r>
    </w:p>
    <w:p>
      <w:pPr>
        <w:pStyle w:val="119"/>
        <w:spacing w:line="360" w:lineRule="auto"/>
        <w:rPr>
          <w:rFonts w:eastAsia="宋体" w:cs="宋体"/>
          <w:color w:val="auto"/>
          <w:sz w:val="21"/>
          <w:highlight w:val="none"/>
        </w:rPr>
      </w:pPr>
      <w:bookmarkStart w:id="110" w:name="_Toc15203_WPSOffice_Level3"/>
      <w:bookmarkStart w:id="111" w:name="_Toc10371_WPSOffice_Level3"/>
      <w:r>
        <w:rPr>
          <w:rFonts w:hint="eastAsia" w:eastAsia="宋体" w:cs="宋体"/>
          <w:color w:val="auto"/>
          <w:sz w:val="21"/>
          <w:highlight w:val="none"/>
        </w:rPr>
        <w:t>3.2　投标报价</w:t>
      </w:r>
      <w:bookmarkEnd w:id="110"/>
      <w:bookmarkEnd w:id="111"/>
    </w:p>
    <w:p>
      <w:pPr>
        <w:pStyle w:val="119"/>
        <w:spacing w:line="360" w:lineRule="auto"/>
        <w:rPr>
          <w:rFonts w:eastAsia="宋体" w:cs="宋体"/>
          <w:color w:val="auto"/>
          <w:sz w:val="21"/>
          <w:highlight w:val="none"/>
        </w:rPr>
      </w:pPr>
      <w:r>
        <w:rPr>
          <w:rFonts w:hint="eastAsia" w:eastAsia="宋体" w:cs="宋体"/>
          <w:color w:val="auto"/>
          <w:sz w:val="21"/>
          <w:highlight w:val="none"/>
        </w:rPr>
        <w:t>详见投标人须知前附表。</w:t>
      </w:r>
    </w:p>
    <w:p>
      <w:pPr>
        <w:pStyle w:val="119"/>
        <w:spacing w:line="360" w:lineRule="auto"/>
        <w:rPr>
          <w:rFonts w:eastAsia="宋体" w:cs="宋体"/>
          <w:color w:val="auto"/>
          <w:sz w:val="21"/>
          <w:highlight w:val="none"/>
        </w:rPr>
      </w:pPr>
      <w:bookmarkStart w:id="112" w:name="_Toc30152_WPSOffice_Level3"/>
      <w:bookmarkStart w:id="113" w:name="_Toc4265_WPSOffice_Level3"/>
      <w:r>
        <w:rPr>
          <w:rFonts w:hint="eastAsia" w:eastAsia="宋体" w:cs="宋体"/>
          <w:color w:val="auto"/>
          <w:sz w:val="21"/>
          <w:highlight w:val="none"/>
        </w:rPr>
        <w:t>3.3  投标有效期</w:t>
      </w:r>
      <w:bookmarkEnd w:id="112"/>
      <w:bookmarkEnd w:id="113"/>
    </w:p>
    <w:p>
      <w:pPr>
        <w:pStyle w:val="119"/>
        <w:spacing w:line="360" w:lineRule="auto"/>
        <w:rPr>
          <w:rFonts w:eastAsia="宋体" w:cs="宋体"/>
          <w:color w:val="auto"/>
          <w:sz w:val="21"/>
          <w:highlight w:val="none"/>
        </w:rPr>
      </w:pPr>
      <w:r>
        <w:rPr>
          <w:rFonts w:hint="eastAsia" w:eastAsia="宋体" w:cs="宋体"/>
          <w:color w:val="auto"/>
          <w:sz w:val="21"/>
          <w:highlight w:val="none"/>
        </w:rPr>
        <w:t>3.3.1  在投标人须知前附表规定的投标有效期内，投标人不得要求撤销或修改其投标文件。</w:t>
      </w:r>
    </w:p>
    <w:p>
      <w:pPr>
        <w:pStyle w:val="119"/>
        <w:spacing w:line="360" w:lineRule="auto"/>
        <w:rPr>
          <w:rFonts w:eastAsia="宋体" w:cs="宋体"/>
          <w:color w:val="auto"/>
          <w:sz w:val="21"/>
          <w:highlight w:val="none"/>
        </w:rPr>
      </w:pPr>
      <w:r>
        <w:rPr>
          <w:rFonts w:hint="eastAsia" w:eastAsia="宋体" w:cs="宋体"/>
          <w:color w:val="auto"/>
          <w:sz w:val="21"/>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119"/>
        <w:spacing w:line="360" w:lineRule="auto"/>
        <w:rPr>
          <w:rFonts w:eastAsia="宋体" w:cs="宋体"/>
          <w:color w:val="auto"/>
          <w:sz w:val="21"/>
          <w:highlight w:val="none"/>
        </w:rPr>
      </w:pPr>
      <w:bookmarkStart w:id="114" w:name="_Toc16140_WPSOffice_Level3"/>
      <w:bookmarkStart w:id="115" w:name="_Toc7656_WPSOffice_Level3"/>
      <w:r>
        <w:rPr>
          <w:rFonts w:hint="eastAsia" w:eastAsia="宋体" w:cs="宋体"/>
          <w:color w:val="auto"/>
          <w:sz w:val="21"/>
          <w:highlight w:val="none"/>
        </w:rPr>
        <w:t>3.4　投标保证金</w:t>
      </w:r>
      <w:bookmarkEnd w:id="114"/>
      <w:bookmarkEnd w:id="115"/>
    </w:p>
    <w:p>
      <w:pPr>
        <w:pStyle w:val="120"/>
        <w:spacing w:line="360" w:lineRule="auto"/>
        <w:rPr>
          <w:rFonts w:eastAsia="宋体" w:cs="宋体"/>
          <w:color w:val="auto"/>
          <w:sz w:val="21"/>
          <w:highlight w:val="none"/>
        </w:rPr>
      </w:pPr>
      <w:r>
        <w:rPr>
          <w:rFonts w:hint="eastAsia" w:eastAsia="宋体" w:cs="宋体"/>
          <w:color w:val="auto"/>
          <w:sz w:val="21"/>
          <w:highlight w:val="none"/>
        </w:rPr>
        <w:t>3.4.1　投标人在递交投标文件的同时，应按投标人须知前附表规定的金额、担保形式递交投标保证金，并作为其投标文件的组成部分。</w:t>
      </w:r>
    </w:p>
    <w:p>
      <w:pPr>
        <w:pStyle w:val="120"/>
        <w:spacing w:line="360" w:lineRule="auto"/>
        <w:rPr>
          <w:rFonts w:eastAsia="宋体" w:cs="宋体"/>
          <w:color w:val="auto"/>
          <w:sz w:val="21"/>
          <w:highlight w:val="none"/>
        </w:rPr>
      </w:pPr>
      <w:r>
        <w:rPr>
          <w:rFonts w:hint="eastAsia" w:eastAsia="宋体" w:cs="宋体"/>
          <w:color w:val="auto"/>
          <w:sz w:val="21"/>
          <w:highlight w:val="none"/>
        </w:rPr>
        <w:t>3.4.2　投标人不按本章第3.4.1项要求提交投标保证金的，其投标文件作否决投标处理。</w:t>
      </w:r>
    </w:p>
    <w:p>
      <w:pPr>
        <w:pStyle w:val="120"/>
        <w:spacing w:line="360" w:lineRule="auto"/>
        <w:rPr>
          <w:rFonts w:eastAsia="宋体" w:cs="宋体"/>
          <w:color w:val="auto"/>
          <w:sz w:val="21"/>
          <w:highlight w:val="none"/>
        </w:rPr>
      </w:pPr>
      <w:r>
        <w:rPr>
          <w:rFonts w:hint="eastAsia" w:eastAsia="宋体" w:cs="宋体"/>
          <w:color w:val="auto"/>
          <w:sz w:val="21"/>
          <w:highlight w:val="none"/>
        </w:rPr>
        <w:t>3.4.3　招标人与中标人签订合同后5个工作日内，向未中标的投标人和中标人退还投标保证金。</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3.4.4　有下列情形之一的，投标保证金将不予退还： </w:t>
      </w:r>
    </w:p>
    <w:p>
      <w:pPr>
        <w:pStyle w:val="120"/>
        <w:spacing w:line="360" w:lineRule="auto"/>
        <w:rPr>
          <w:rFonts w:eastAsia="宋体" w:cs="宋体"/>
          <w:color w:val="auto"/>
          <w:sz w:val="21"/>
          <w:highlight w:val="none"/>
        </w:rPr>
      </w:pPr>
      <w:r>
        <w:rPr>
          <w:rFonts w:hint="eastAsia" w:eastAsia="宋体" w:cs="宋体"/>
          <w:color w:val="auto"/>
          <w:sz w:val="21"/>
          <w:highlight w:val="none"/>
        </w:rPr>
        <w:t>（1）投标人在规定的投标有效期内撤销或修改其投标文件；</w:t>
      </w:r>
    </w:p>
    <w:p>
      <w:pPr>
        <w:pStyle w:val="120"/>
        <w:spacing w:line="360" w:lineRule="auto"/>
        <w:rPr>
          <w:rFonts w:eastAsia="宋体" w:cs="宋体"/>
          <w:color w:val="auto"/>
          <w:sz w:val="21"/>
          <w:highlight w:val="none"/>
        </w:rPr>
      </w:pPr>
      <w:r>
        <w:rPr>
          <w:rFonts w:hint="eastAsia" w:eastAsia="宋体" w:cs="宋体"/>
          <w:color w:val="auto"/>
          <w:sz w:val="21"/>
          <w:highlight w:val="none"/>
        </w:rPr>
        <w:t>（2）中标人在收到中标通知书后，无正当理由拒签合同协议书或未按招标文件规定提交履约担保。</w:t>
      </w:r>
    </w:p>
    <w:p>
      <w:pPr>
        <w:pStyle w:val="119"/>
        <w:spacing w:line="360" w:lineRule="auto"/>
        <w:rPr>
          <w:rFonts w:eastAsia="宋体" w:cs="宋体"/>
          <w:color w:val="auto"/>
          <w:sz w:val="21"/>
          <w:highlight w:val="none"/>
        </w:rPr>
      </w:pPr>
      <w:bookmarkStart w:id="116" w:name="_Toc16216_WPSOffice_Level3"/>
      <w:bookmarkStart w:id="117" w:name="_Toc4488_WPSOffice_Level3"/>
      <w:r>
        <w:rPr>
          <w:rFonts w:hint="eastAsia" w:eastAsia="宋体" w:cs="宋体"/>
          <w:color w:val="auto"/>
          <w:sz w:val="21"/>
          <w:highlight w:val="none"/>
        </w:rPr>
        <w:t>3.5　资格审查资料</w:t>
      </w:r>
      <w:bookmarkEnd w:id="116"/>
      <w:bookmarkEnd w:id="117"/>
    </w:p>
    <w:p>
      <w:pPr>
        <w:pStyle w:val="120"/>
        <w:spacing w:line="360" w:lineRule="auto"/>
        <w:rPr>
          <w:rFonts w:eastAsia="宋体" w:cs="宋体"/>
          <w:color w:val="auto"/>
          <w:sz w:val="21"/>
          <w:highlight w:val="none"/>
        </w:rPr>
      </w:pPr>
      <w:r>
        <w:rPr>
          <w:rFonts w:hint="eastAsia" w:eastAsia="宋体" w:cs="宋体"/>
          <w:color w:val="auto"/>
          <w:sz w:val="21"/>
          <w:highlight w:val="none"/>
        </w:rPr>
        <w:t>投标人</w:t>
      </w:r>
      <w:r>
        <w:rPr>
          <w:rFonts w:hint="eastAsia" w:eastAsia="宋体" w:cs="宋体"/>
          <w:color w:val="auto"/>
          <w:sz w:val="21"/>
          <w:highlight w:val="none"/>
          <w:lang w:val="en-US" w:eastAsia="zh-CN"/>
        </w:rPr>
        <w:t>应保证提供的资料清晰可辨</w:t>
      </w:r>
      <w:r>
        <w:rPr>
          <w:rFonts w:hint="eastAsia" w:eastAsia="宋体" w:cs="宋体"/>
          <w:color w:val="auto"/>
          <w:sz w:val="21"/>
          <w:highlight w:val="none"/>
        </w:rPr>
        <w:t>，评标委员会审查时将有可能对有关证明</w:t>
      </w:r>
      <w:r>
        <w:rPr>
          <w:rFonts w:hint="eastAsia" w:eastAsia="宋体" w:cs="宋体"/>
          <w:color w:val="auto"/>
          <w:sz w:val="21"/>
          <w:highlight w:val="none"/>
          <w:lang w:val="en-US" w:eastAsia="zh-CN"/>
        </w:rPr>
        <w:t>或</w:t>
      </w:r>
      <w:r>
        <w:rPr>
          <w:rFonts w:hint="eastAsia" w:eastAsia="宋体" w:cs="宋体"/>
          <w:color w:val="auto"/>
          <w:sz w:val="21"/>
          <w:highlight w:val="none"/>
        </w:rPr>
        <w:t>证件的原件</w:t>
      </w:r>
      <w:r>
        <w:rPr>
          <w:rFonts w:hint="eastAsia" w:eastAsia="宋体" w:cs="宋体"/>
          <w:color w:val="auto"/>
          <w:sz w:val="21"/>
          <w:highlight w:val="none"/>
          <w:lang w:val="en-US" w:eastAsia="zh-CN"/>
        </w:rPr>
        <w:t>进行</w:t>
      </w:r>
      <w:r>
        <w:rPr>
          <w:rFonts w:hint="eastAsia" w:eastAsia="宋体" w:cs="宋体"/>
          <w:color w:val="auto"/>
          <w:sz w:val="21"/>
          <w:highlight w:val="none"/>
        </w:rPr>
        <w:t>核查</w:t>
      </w:r>
      <w:r>
        <w:rPr>
          <w:rFonts w:hint="eastAsia" w:eastAsia="宋体" w:cs="宋体"/>
          <w:color w:val="auto"/>
          <w:sz w:val="21"/>
          <w:highlight w:val="none"/>
          <w:lang w:eastAsia="zh-CN"/>
        </w:rPr>
        <w:t>，</w:t>
      </w:r>
      <w:r>
        <w:rPr>
          <w:rFonts w:hint="eastAsia" w:eastAsia="宋体" w:cs="宋体"/>
          <w:color w:val="auto"/>
          <w:sz w:val="21"/>
          <w:highlight w:val="none"/>
          <w:lang w:val="en-US" w:eastAsia="zh-CN"/>
        </w:rPr>
        <w:t>若投标人在评标委员会规定的时间内无法提供的，其由此产生的后果由投标人自行负责</w:t>
      </w:r>
      <w:r>
        <w:rPr>
          <w:rFonts w:hint="eastAsia" w:eastAsia="宋体" w:cs="宋体"/>
          <w:color w:val="auto"/>
          <w:sz w:val="21"/>
          <w:highlight w:val="none"/>
        </w:rPr>
        <w:t>。</w:t>
      </w:r>
    </w:p>
    <w:p>
      <w:pPr>
        <w:pStyle w:val="119"/>
        <w:spacing w:line="360" w:lineRule="auto"/>
        <w:rPr>
          <w:rFonts w:eastAsia="宋体" w:cs="宋体"/>
          <w:color w:val="auto"/>
          <w:sz w:val="21"/>
          <w:highlight w:val="none"/>
        </w:rPr>
      </w:pPr>
      <w:bookmarkStart w:id="118" w:name="_Toc6619_WPSOffice_Level3"/>
      <w:bookmarkStart w:id="119" w:name="_Toc24379_WPSOffice_Level3"/>
      <w:r>
        <w:rPr>
          <w:rFonts w:hint="eastAsia" w:eastAsia="宋体" w:cs="宋体"/>
          <w:color w:val="auto"/>
          <w:sz w:val="21"/>
          <w:highlight w:val="none"/>
        </w:rPr>
        <w:t>3.6　备选投标方案</w:t>
      </w:r>
      <w:bookmarkEnd w:id="118"/>
      <w:bookmarkEnd w:id="119"/>
    </w:p>
    <w:p>
      <w:pPr>
        <w:pStyle w:val="120"/>
        <w:spacing w:line="360" w:lineRule="auto"/>
        <w:rPr>
          <w:rFonts w:eastAsia="宋体" w:cs="宋体"/>
          <w:color w:val="auto"/>
          <w:sz w:val="21"/>
          <w:highlight w:val="none"/>
        </w:rPr>
      </w:pPr>
      <w:r>
        <w:rPr>
          <w:rFonts w:hint="eastAsia" w:eastAsia="宋体" w:cs="宋体"/>
          <w:color w:val="auto"/>
          <w:sz w:val="21"/>
          <w:highlight w:val="none"/>
        </w:rPr>
        <w:t>不允许。</w:t>
      </w:r>
    </w:p>
    <w:p>
      <w:pPr>
        <w:pStyle w:val="119"/>
        <w:spacing w:line="360" w:lineRule="auto"/>
        <w:rPr>
          <w:rFonts w:eastAsia="宋体" w:cs="宋体"/>
          <w:color w:val="auto"/>
          <w:sz w:val="21"/>
          <w:highlight w:val="none"/>
        </w:rPr>
      </w:pPr>
      <w:bookmarkStart w:id="120" w:name="_Toc26893_WPSOffice_Level3"/>
      <w:bookmarkStart w:id="121" w:name="_Toc19545_WPSOffice_Level3"/>
      <w:r>
        <w:rPr>
          <w:rFonts w:hint="eastAsia" w:eastAsia="宋体" w:cs="宋体"/>
          <w:color w:val="auto"/>
          <w:sz w:val="21"/>
          <w:highlight w:val="none"/>
        </w:rPr>
        <w:t>3.7　投标文件的编制</w:t>
      </w:r>
      <w:bookmarkEnd w:id="120"/>
      <w:bookmarkEnd w:id="121"/>
    </w:p>
    <w:p>
      <w:pPr>
        <w:pStyle w:val="120"/>
        <w:spacing w:line="360" w:lineRule="auto"/>
        <w:rPr>
          <w:rFonts w:eastAsia="宋体" w:cs="宋体"/>
          <w:color w:val="auto"/>
          <w:sz w:val="21"/>
          <w:highlight w:val="none"/>
        </w:rPr>
      </w:pPr>
      <w:r>
        <w:rPr>
          <w:rFonts w:hint="eastAsia" w:eastAsia="宋体" w:cs="宋体"/>
          <w:color w:val="auto"/>
          <w:sz w:val="21"/>
          <w:highlight w:val="none"/>
        </w:rPr>
        <w:t>3.7.1　投标文件应按</w:t>
      </w:r>
      <w:r>
        <w:rPr>
          <w:rFonts w:hint="eastAsia" w:eastAsia="宋体" w:cs="宋体"/>
          <w:color w:val="auto"/>
          <w:sz w:val="21"/>
          <w:highlight w:val="none"/>
          <w:lang w:eastAsia="zh-CN"/>
        </w:rPr>
        <w:t>第五章</w:t>
      </w:r>
      <w:r>
        <w:rPr>
          <w:rFonts w:hint="eastAsia" w:eastAsia="宋体" w:cs="宋体"/>
          <w:color w:val="auto"/>
          <w:sz w:val="21"/>
          <w:highlight w:val="none"/>
        </w:rPr>
        <w:t>“投标文件格式”进行编写，如有必要，可以增加附页，作为投标文件的组成部分。</w:t>
      </w:r>
    </w:p>
    <w:p>
      <w:pPr>
        <w:pStyle w:val="120"/>
        <w:spacing w:line="360" w:lineRule="auto"/>
        <w:rPr>
          <w:rFonts w:eastAsia="宋体" w:cs="宋体"/>
          <w:color w:val="auto"/>
          <w:sz w:val="21"/>
          <w:highlight w:val="none"/>
        </w:rPr>
      </w:pPr>
      <w:r>
        <w:rPr>
          <w:rFonts w:hint="eastAsia" w:eastAsia="宋体" w:cs="宋体"/>
          <w:color w:val="auto"/>
          <w:sz w:val="21"/>
          <w:highlight w:val="none"/>
        </w:rPr>
        <w:t>3.7.2　投标文件应当对招标文件有关服务期限、投标有效期、质量要求、</w:t>
      </w:r>
      <w:r>
        <w:rPr>
          <w:rFonts w:hint="eastAsia" w:eastAsia="宋体" w:cs="宋体"/>
          <w:color w:val="auto"/>
          <w:sz w:val="21"/>
          <w:highlight w:val="none"/>
          <w:lang w:val="en-US" w:eastAsia="zh-CN"/>
        </w:rPr>
        <w:t>委托人需求</w:t>
      </w:r>
      <w:r>
        <w:rPr>
          <w:rFonts w:hint="eastAsia" w:eastAsia="宋体" w:cs="宋体"/>
          <w:color w:val="auto"/>
          <w:sz w:val="21"/>
          <w:highlight w:val="none"/>
        </w:rPr>
        <w:t>、招标范围等实质性内容作出响应。</w:t>
      </w:r>
    </w:p>
    <w:p>
      <w:pPr>
        <w:pStyle w:val="120"/>
        <w:spacing w:line="360" w:lineRule="auto"/>
        <w:rPr>
          <w:rFonts w:eastAsia="宋体" w:cs="宋体"/>
          <w:color w:val="auto"/>
          <w:sz w:val="21"/>
          <w:highlight w:val="none"/>
        </w:rPr>
      </w:pPr>
      <w:r>
        <w:rPr>
          <w:rFonts w:hint="eastAsia" w:eastAsia="宋体" w:cs="宋体"/>
          <w:color w:val="auto"/>
          <w:sz w:val="21"/>
          <w:highlight w:val="none"/>
        </w:rPr>
        <w:t>3.7.3　投标文件应采用不褪色的材料书写或打印。投标文件正本除封面、封底、目录、分隔页外，其余每一页均应加盖投标人单位公章，并由投标人的法定代表人</w:t>
      </w:r>
      <w:r>
        <w:rPr>
          <w:rFonts w:hint="eastAsia" w:ascii="宋体" w:hAnsi="宋体" w:eastAsia="宋体" w:cs="宋体"/>
          <w:snapToGrid w:val="0"/>
          <w:color w:val="auto"/>
          <w:sz w:val="21"/>
          <w:szCs w:val="21"/>
          <w:highlight w:val="none"/>
          <w:lang w:eastAsia="zh-CN"/>
        </w:rPr>
        <w:t>（单位负责人）</w:t>
      </w:r>
      <w:r>
        <w:rPr>
          <w:rFonts w:hint="eastAsia" w:eastAsia="宋体" w:cs="宋体"/>
          <w:color w:val="auto"/>
          <w:sz w:val="21"/>
          <w:highlight w:val="none"/>
        </w:rPr>
        <w:t>或其委托代理人签字。投标文件应尽量避免涂改、行间插字或删除。如果出现上述情况，修改之处应加盖投标人单位公章或由投标人的法定代表人</w:t>
      </w:r>
      <w:r>
        <w:rPr>
          <w:rFonts w:hint="eastAsia" w:ascii="宋体" w:hAnsi="宋体" w:eastAsia="宋体" w:cs="宋体"/>
          <w:snapToGrid w:val="0"/>
          <w:color w:val="auto"/>
          <w:sz w:val="21"/>
          <w:szCs w:val="21"/>
          <w:highlight w:val="none"/>
          <w:lang w:eastAsia="zh-CN"/>
        </w:rPr>
        <w:t>（单位负责人）</w:t>
      </w:r>
      <w:r>
        <w:rPr>
          <w:rFonts w:hint="eastAsia" w:eastAsia="宋体" w:cs="宋体"/>
          <w:color w:val="auto"/>
          <w:sz w:val="21"/>
          <w:highlight w:val="none"/>
        </w:rPr>
        <w:t>或其委托代理人签字确认。</w:t>
      </w:r>
      <w:bookmarkStart w:id="513" w:name="_GoBack"/>
      <w:bookmarkEnd w:id="513"/>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3.7.4　</w:t>
      </w:r>
      <w:r>
        <w:rPr>
          <w:rFonts w:hint="eastAsia" w:ascii="宋体" w:hAnsi="宋体" w:eastAsia="宋体" w:cs="宋体"/>
          <w:snapToGrid w:val="0"/>
          <w:color w:val="auto"/>
          <w:sz w:val="21"/>
          <w:szCs w:val="21"/>
          <w:highlight w:val="none"/>
        </w:rPr>
        <w:t>投标文件正本壹份，副本贰份；副本可以为正本复印件。提供包含全部投标文件内容的电子文件（光盘）2份</w:t>
      </w:r>
      <w:r>
        <w:rPr>
          <w:rFonts w:hint="eastAsia" w:ascii="宋体" w:hAnsi="宋体" w:eastAsia="宋体" w:cs="宋体"/>
          <w:color w:val="auto"/>
          <w:sz w:val="21"/>
          <w:szCs w:val="21"/>
          <w:highlight w:val="none"/>
        </w:rPr>
        <w:t>。当副本和正本不一致时，以正本为准。</w:t>
      </w:r>
    </w:p>
    <w:p>
      <w:pPr>
        <w:pStyle w:val="120"/>
        <w:spacing w:line="360" w:lineRule="auto"/>
        <w:rPr>
          <w:rFonts w:eastAsia="宋体" w:cs="宋体"/>
          <w:color w:val="auto"/>
          <w:szCs w:val="24"/>
          <w:highlight w:val="none"/>
        </w:rPr>
      </w:pPr>
      <w:r>
        <w:rPr>
          <w:rFonts w:hint="eastAsia" w:eastAsia="宋体" w:cs="宋体"/>
          <w:color w:val="auto"/>
          <w:sz w:val="21"/>
          <w:highlight w:val="none"/>
        </w:rPr>
        <w:t>3.7.5　见投标人须知前附表。</w:t>
      </w:r>
    </w:p>
    <w:p>
      <w:pPr>
        <w:pStyle w:val="151"/>
        <w:spacing w:beforeLines="0" w:afterLines="0"/>
        <w:rPr>
          <w:rFonts w:ascii="宋体" w:hAnsi="宋体" w:eastAsia="宋体" w:cs="宋体"/>
          <w:color w:val="auto"/>
          <w:highlight w:val="none"/>
        </w:rPr>
      </w:pPr>
      <w:bookmarkStart w:id="122" w:name="_Toc25693_WPSOffice_Level2"/>
      <w:r>
        <w:rPr>
          <w:rFonts w:hint="eastAsia" w:ascii="宋体" w:hAnsi="宋体" w:eastAsia="宋体" w:cs="宋体"/>
          <w:color w:val="auto"/>
          <w:highlight w:val="none"/>
        </w:rPr>
        <w:t>4　投标</w:t>
      </w:r>
      <w:bookmarkEnd w:id="122"/>
    </w:p>
    <w:p>
      <w:pPr>
        <w:pStyle w:val="119"/>
        <w:spacing w:line="360" w:lineRule="auto"/>
        <w:rPr>
          <w:rFonts w:eastAsia="宋体" w:cs="宋体"/>
          <w:color w:val="auto"/>
          <w:sz w:val="21"/>
          <w:highlight w:val="none"/>
        </w:rPr>
      </w:pPr>
      <w:bookmarkStart w:id="123" w:name="_Toc19577_WPSOffice_Level3"/>
      <w:bookmarkStart w:id="124" w:name="_Toc21131_WPSOffice_Level3"/>
      <w:r>
        <w:rPr>
          <w:rFonts w:hint="eastAsia" w:eastAsia="宋体" w:cs="宋体"/>
          <w:color w:val="auto"/>
          <w:sz w:val="21"/>
          <w:highlight w:val="none"/>
        </w:rPr>
        <w:t>4.1　投标文件的密封和标识</w:t>
      </w:r>
      <w:bookmarkEnd w:id="123"/>
      <w:bookmarkEnd w:id="124"/>
    </w:p>
    <w:p>
      <w:pPr>
        <w:pStyle w:val="119"/>
        <w:spacing w:line="360" w:lineRule="auto"/>
        <w:rPr>
          <w:rFonts w:eastAsia="宋体" w:cs="宋体"/>
          <w:color w:val="auto"/>
          <w:sz w:val="21"/>
          <w:highlight w:val="none"/>
        </w:rPr>
      </w:pPr>
      <w:r>
        <w:rPr>
          <w:rFonts w:hint="eastAsia" w:eastAsia="宋体" w:cs="宋体"/>
          <w:color w:val="auto"/>
          <w:sz w:val="21"/>
          <w:highlight w:val="none"/>
        </w:rPr>
        <w:t>4.1.1  投标文件的密封见投标人须知前附表。</w:t>
      </w:r>
    </w:p>
    <w:p>
      <w:pPr>
        <w:pStyle w:val="119"/>
        <w:spacing w:line="360" w:lineRule="auto"/>
        <w:rPr>
          <w:rFonts w:eastAsia="宋体" w:cs="宋体"/>
          <w:color w:val="auto"/>
          <w:sz w:val="21"/>
          <w:highlight w:val="none"/>
        </w:rPr>
      </w:pPr>
      <w:r>
        <w:rPr>
          <w:rFonts w:hint="eastAsia" w:eastAsia="宋体" w:cs="宋体"/>
          <w:color w:val="auto"/>
          <w:sz w:val="21"/>
          <w:highlight w:val="none"/>
        </w:rPr>
        <w:t>4.1.2  投标文件的封套上写明的内容见投标人须知前附表。</w:t>
      </w:r>
    </w:p>
    <w:p>
      <w:pPr>
        <w:pStyle w:val="119"/>
        <w:spacing w:line="360" w:lineRule="auto"/>
        <w:rPr>
          <w:rFonts w:eastAsia="宋体" w:cs="宋体"/>
          <w:color w:val="auto"/>
          <w:sz w:val="21"/>
          <w:highlight w:val="none"/>
        </w:rPr>
      </w:pPr>
      <w:r>
        <w:rPr>
          <w:rFonts w:hint="eastAsia" w:eastAsia="宋体" w:cs="宋体"/>
          <w:color w:val="auto"/>
          <w:sz w:val="21"/>
          <w:highlight w:val="none"/>
        </w:rPr>
        <w:t>4.1.3  未按本章第 4.1.1 项或第 4.1.2 项要求密封和加写标记的投标文件，招标人不予受理。</w:t>
      </w:r>
    </w:p>
    <w:p>
      <w:pPr>
        <w:pStyle w:val="119"/>
        <w:spacing w:line="360" w:lineRule="auto"/>
        <w:rPr>
          <w:rFonts w:eastAsia="宋体" w:cs="宋体"/>
          <w:color w:val="auto"/>
          <w:sz w:val="21"/>
          <w:highlight w:val="none"/>
        </w:rPr>
      </w:pPr>
      <w:bookmarkStart w:id="125" w:name="_Toc10138_WPSOffice_Level3"/>
      <w:bookmarkStart w:id="126" w:name="_Toc9918_WPSOffice_Level3"/>
      <w:r>
        <w:rPr>
          <w:rFonts w:hint="eastAsia" w:eastAsia="宋体" w:cs="宋体"/>
          <w:color w:val="auto"/>
          <w:sz w:val="21"/>
          <w:highlight w:val="none"/>
        </w:rPr>
        <w:t>4.2　投标文件的递交</w:t>
      </w:r>
      <w:bookmarkEnd w:id="125"/>
      <w:bookmarkEnd w:id="126"/>
    </w:p>
    <w:p>
      <w:pPr>
        <w:pStyle w:val="120"/>
        <w:spacing w:line="360" w:lineRule="auto"/>
        <w:rPr>
          <w:rFonts w:eastAsia="宋体" w:cs="宋体"/>
          <w:color w:val="auto"/>
          <w:sz w:val="21"/>
          <w:highlight w:val="none"/>
        </w:rPr>
      </w:pPr>
      <w:r>
        <w:rPr>
          <w:rFonts w:hint="eastAsia" w:eastAsia="宋体" w:cs="宋体"/>
          <w:color w:val="auto"/>
          <w:sz w:val="21"/>
          <w:highlight w:val="none"/>
        </w:rPr>
        <w:t>4.2.1　投标人应在本章第2.2.2项规定的投标截止时间前递交投标文件。</w:t>
      </w:r>
    </w:p>
    <w:p>
      <w:pPr>
        <w:pStyle w:val="120"/>
        <w:spacing w:line="360" w:lineRule="auto"/>
        <w:rPr>
          <w:rFonts w:eastAsia="宋体" w:cs="宋体"/>
          <w:color w:val="auto"/>
          <w:sz w:val="21"/>
          <w:highlight w:val="none"/>
        </w:rPr>
      </w:pPr>
      <w:r>
        <w:rPr>
          <w:rFonts w:hint="eastAsia" w:eastAsia="宋体" w:cs="宋体"/>
          <w:color w:val="auto"/>
          <w:sz w:val="21"/>
          <w:highlight w:val="none"/>
        </w:rPr>
        <w:t>4.2.2　投标人递交投标文件的地点：见投标人须知前附表。</w:t>
      </w:r>
    </w:p>
    <w:p>
      <w:pPr>
        <w:pStyle w:val="120"/>
        <w:spacing w:line="360" w:lineRule="auto"/>
        <w:rPr>
          <w:rFonts w:eastAsia="宋体" w:cs="宋体"/>
          <w:color w:val="auto"/>
          <w:sz w:val="21"/>
          <w:highlight w:val="none"/>
        </w:rPr>
      </w:pPr>
      <w:r>
        <w:rPr>
          <w:rFonts w:hint="eastAsia" w:eastAsia="宋体" w:cs="宋体"/>
          <w:color w:val="auto"/>
          <w:sz w:val="21"/>
          <w:highlight w:val="none"/>
        </w:rPr>
        <w:t>4.2.3　除投标人须知前附表另有规定外，投标人所递交的投标文件不予退还。</w:t>
      </w:r>
    </w:p>
    <w:p>
      <w:pPr>
        <w:pStyle w:val="120"/>
        <w:spacing w:line="360" w:lineRule="auto"/>
        <w:rPr>
          <w:rFonts w:eastAsia="宋体" w:cs="宋体"/>
          <w:color w:val="auto"/>
          <w:sz w:val="21"/>
          <w:highlight w:val="none"/>
        </w:rPr>
      </w:pPr>
      <w:r>
        <w:rPr>
          <w:rFonts w:hint="eastAsia" w:eastAsia="宋体" w:cs="宋体"/>
          <w:color w:val="auto"/>
          <w:sz w:val="21"/>
          <w:highlight w:val="none"/>
        </w:rPr>
        <w:t>4.2.4　招标人收到投标文件后，向投标人出具签收凭证。</w:t>
      </w:r>
    </w:p>
    <w:p>
      <w:pPr>
        <w:pStyle w:val="120"/>
        <w:spacing w:line="360" w:lineRule="auto"/>
        <w:rPr>
          <w:rFonts w:eastAsia="宋体" w:cs="宋体"/>
          <w:color w:val="auto"/>
          <w:sz w:val="21"/>
          <w:highlight w:val="none"/>
        </w:rPr>
      </w:pPr>
      <w:r>
        <w:rPr>
          <w:rFonts w:hint="eastAsia" w:eastAsia="宋体" w:cs="宋体"/>
          <w:color w:val="auto"/>
          <w:sz w:val="21"/>
          <w:highlight w:val="none"/>
        </w:rPr>
        <w:t>4.2.5　逾期送达的或者未送达指定地点的投标文件，招标人不予受理。</w:t>
      </w:r>
    </w:p>
    <w:p>
      <w:pPr>
        <w:pStyle w:val="119"/>
        <w:spacing w:line="360" w:lineRule="auto"/>
        <w:rPr>
          <w:rFonts w:eastAsia="宋体" w:cs="宋体"/>
          <w:color w:val="auto"/>
          <w:sz w:val="21"/>
          <w:highlight w:val="none"/>
        </w:rPr>
      </w:pPr>
      <w:bookmarkStart w:id="127" w:name="_Toc23734_WPSOffice_Level3"/>
      <w:bookmarkStart w:id="128" w:name="_Toc18299_WPSOffice_Level3"/>
      <w:r>
        <w:rPr>
          <w:rFonts w:hint="eastAsia" w:eastAsia="宋体" w:cs="宋体"/>
          <w:color w:val="auto"/>
          <w:sz w:val="21"/>
          <w:highlight w:val="none"/>
        </w:rPr>
        <w:t>4.3　投标文件的修改与撤回</w:t>
      </w:r>
      <w:bookmarkEnd w:id="127"/>
      <w:bookmarkEnd w:id="128"/>
    </w:p>
    <w:p>
      <w:pPr>
        <w:pStyle w:val="120"/>
        <w:spacing w:line="360" w:lineRule="auto"/>
        <w:rPr>
          <w:rFonts w:eastAsia="宋体" w:cs="宋体"/>
          <w:color w:val="auto"/>
          <w:sz w:val="21"/>
          <w:highlight w:val="none"/>
        </w:rPr>
      </w:pPr>
      <w:r>
        <w:rPr>
          <w:rFonts w:hint="eastAsia" w:eastAsia="宋体" w:cs="宋体"/>
          <w:color w:val="auto"/>
          <w:sz w:val="21"/>
          <w:highlight w:val="none"/>
        </w:rPr>
        <w:t>4.3.1　在规定的投标截止时间前，投标人可以修改或撤回已递交的投标文件，但应以书面形式通知招标人。</w:t>
      </w:r>
    </w:p>
    <w:p>
      <w:pPr>
        <w:pStyle w:val="120"/>
        <w:spacing w:line="360" w:lineRule="auto"/>
        <w:rPr>
          <w:rFonts w:eastAsia="宋体" w:cs="宋体"/>
          <w:color w:val="auto"/>
          <w:sz w:val="21"/>
          <w:highlight w:val="none"/>
        </w:rPr>
      </w:pPr>
      <w:r>
        <w:rPr>
          <w:rFonts w:hint="eastAsia" w:eastAsia="宋体" w:cs="宋体"/>
          <w:color w:val="auto"/>
          <w:sz w:val="21"/>
          <w:highlight w:val="none"/>
        </w:rPr>
        <w:t>4.3.2　投标人修改或撤回已递交投标文件的书面通知应按照本章第3.7.3项的要求签字或盖章。招标人收到书面通知后，向投标人出具签收凭证。</w:t>
      </w:r>
    </w:p>
    <w:p>
      <w:pPr>
        <w:pStyle w:val="120"/>
        <w:spacing w:line="360" w:lineRule="auto"/>
        <w:rPr>
          <w:rFonts w:eastAsia="宋体" w:cs="宋体"/>
          <w:color w:val="auto"/>
          <w:szCs w:val="24"/>
          <w:highlight w:val="none"/>
        </w:rPr>
      </w:pPr>
      <w:r>
        <w:rPr>
          <w:rFonts w:hint="eastAsia" w:eastAsia="宋体" w:cs="宋体"/>
          <w:color w:val="auto"/>
          <w:sz w:val="21"/>
          <w:highlight w:val="none"/>
        </w:rPr>
        <w:t>4.3.3　修改的内容为投标文件的组成部分。修改的投标文件应按照本章第2条、第3条规定进行编制、密封、标记和递交，并标明“修改”字样。</w:t>
      </w:r>
    </w:p>
    <w:p>
      <w:pPr>
        <w:pStyle w:val="151"/>
        <w:spacing w:beforeLines="0" w:afterLines="0"/>
        <w:rPr>
          <w:rFonts w:ascii="宋体" w:hAnsi="宋体" w:eastAsia="宋体" w:cs="宋体"/>
          <w:color w:val="auto"/>
          <w:highlight w:val="none"/>
        </w:rPr>
      </w:pPr>
      <w:bookmarkStart w:id="129" w:name="_Toc27709_WPSOffice_Level2"/>
      <w:r>
        <w:rPr>
          <w:rFonts w:hint="eastAsia" w:ascii="宋体" w:hAnsi="宋体" w:eastAsia="宋体" w:cs="宋体"/>
          <w:color w:val="auto"/>
          <w:highlight w:val="none"/>
        </w:rPr>
        <w:t>5　开标</w:t>
      </w:r>
      <w:bookmarkEnd w:id="129"/>
    </w:p>
    <w:p>
      <w:pPr>
        <w:pStyle w:val="119"/>
        <w:spacing w:line="360" w:lineRule="auto"/>
        <w:rPr>
          <w:rFonts w:eastAsia="宋体" w:cs="宋体"/>
          <w:color w:val="auto"/>
          <w:sz w:val="21"/>
          <w:highlight w:val="none"/>
        </w:rPr>
      </w:pPr>
      <w:bookmarkStart w:id="130" w:name="_Toc9687_WPSOffice_Level3"/>
      <w:bookmarkStart w:id="131" w:name="_Toc22579_WPSOffice_Level3"/>
      <w:r>
        <w:rPr>
          <w:rFonts w:hint="eastAsia" w:eastAsia="宋体" w:cs="宋体"/>
          <w:color w:val="auto"/>
          <w:sz w:val="21"/>
          <w:highlight w:val="none"/>
        </w:rPr>
        <w:t>5.1　开标时间和地点</w:t>
      </w:r>
      <w:bookmarkEnd w:id="130"/>
      <w:bookmarkEnd w:id="131"/>
    </w:p>
    <w:p>
      <w:pPr>
        <w:pStyle w:val="120"/>
        <w:spacing w:line="360" w:lineRule="auto"/>
        <w:rPr>
          <w:rFonts w:eastAsia="宋体" w:cs="宋体"/>
          <w:color w:val="auto"/>
          <w:sz w:val="21"/>
          <w:highlight w:val="none"/>
        </w:rPr>
      </w:pPr>
      <w:r>
        <w:rPr>
          <w:rFonts w:hint="eastAsia" w:eastAsia="宋体" w:cs="宋体"/>
          <w:color w:val="auto"/>
          <w:sz w:val="21"/>
          <w:highlight w:val="none"/>
        </w:rPr>
        <w:t>招标人在规定的投标截止时间（开标时间）和投标人须知前附表规定的地点公开开标，并邀请所有投标人的法定代表人</w:t>
      </w:r>
      <w:r>
        <w:rPr>
          <w:rFonts w:hint="eastAsia" w:ascii="宋体" w:hAnsi="宋体" w:eastAsia="宋体" w:cs="宋体"/>
          <w:snapToGrid w:val="0"/>
          <w:color w:val="auto"/>
          <w:sz w:val="21"/>
          <w:szCs w:val="21"/>
          <w:highlight w:val="none"/>
          <w:lang w:eastAsia="zh-CN"/>
        </w:rPr>
        <w:t>（单位负责人）</w:t>
      </w:r>
      <w:r>
        <w:rPr>
          <w:rFonts w:hint="eastAsia" w:eastAsia="宋体" w:cs="宋体"/>
          <w:color w:val="auto"/>
          <w:sz w:val="21"/>
          <w:highlight w:val="none"/>
        </w:rPr>
        <w:t>或其委托代理人准时参加。投标人的法定代表人</w:t>
      </w:r>
      <w:r>
        <w:rPr>
          <w:rFonts w:hint="eastAsia" w:ascii="宋体" w:hAnsi="宋体" w:eastAsia="宋体" w:cs="宋体"/>
          <w:snapToGrid w:val="0"/>
          <w:color w:val="auto"/>
          <w:sz w:val="21"/>
          <w:szCs w:val="21"/>
          <w:highlight w:val="none"/>
          <w:lang w:eastAsia="zh-CN"/>
        </w:rPr>
        <w:t>（单位负责人）</w:t>
      </w:r>
      <w:r>
        <w:rPr>
          <w:rFonts w:hint="eastAsia" w:eastAsia="宋体" w:cs="宋体"/>
          <w:color w:val="auto"/>
          <w:sz w:val="21"/>
          <w:highlight w:val="none"/>
        </w:rPr>
        <w:t>或其委托代理人未参加开标会的，</w:t>
      </w:r>
      <w:r>
        <w:rPr>
          <w:rFonts w:hint="eastAsia" w:ascii="宋体" w:hAnsi="宋体" w:eastAsia="宋体" w:cs="宋体"/>
          <w:snapToGrid w:val="0"/>
          <w:color w:val="auto"/>
          <w:sz w:val="21"/>
          <w:szCs w:val="21"/>
          <w:highlight w:val="none"/>
        </w:rPr>
        <w:t>视为默认开标结果</w:t>
      </w:r>
      <w:r>
        <w:rPr>
          <w:rFonts w:hint="eastAsia" w:eastAsia="宋体" w:cs="宋体"/>
          <w:color w:val="auto"/>
          <w:sz w:val="21"/>
          <w:highlight w:val="none"/>
        </w:rPr>
        <w:t>。</w:t>
      </w:r>
    </w:p>
    <w:p>
      <w:pPr>
        <w:pStyle w:val="119"/>
        <w:spacing w:line="360" w:lineRule="auto"/>
        <w:rPr>
          <w:rFonts w:eastAsia="宋体" w:cs="宋体"/>
          <w:color w:val="auto"/>
          <w:sz w:val="21"/>
          <w:highlight w:val="none"/>
        </w:rPr>
      </w:pPr>
      <w:bookmarkStart w:id="132" w:name="_Toc7493_WPSOffice_Level3"/>
      <w:bookmarkStart w:id="133" w:name="_Toc11379_WPSOffice_Level3"/>
      <w:r>
        <w:rPr>
          <w:rFonts w:hint="eastAsia" w:eastAsia="宋体" w:cs="宋体"/>
          <w:color w:val="auto"/>
          <w:sz w:val="21"/>
          <w:highlight w:val="none"/>
        </w:rPr>
        <w:t>5.2　开标程序</w:t>
      </w:r>
      <w:bookmarkEnd w:id="132"/>
      <w:bookmarkEnd w:id="133"/>
    </w:p>
    <w:p>
      <w:pPr>
        <w:pStyle w:val="120"/>
        <w:spacing w:line="360" w:lineRule="auto"/>
        <w:rPr>
          <w:rFonts w:eastAsia="宋体" w:cs="宋体"/>
          <w:color w:val="auto"/>
          <w:sz w:val="21"/>
          <w:highlight w:val="none"/>
        </w:rPr>
      </w:pPr>
      <w:r>
        <w:rPr>
          <w:rFonts w:hint="eastAsia" w:eastAsia="宋体" w:cs="宋体"/>
          <w:color w:val="auto"/>
          <w:sz w:val="21"/>
          <w:highlight w:val="none"/>
        </w:rPr>
        <w:t>见投标人须知前附表。</w:t>
      </w:r>
    </w:p>
    <w:p>
      <w:pPr>
        <w:pStyle w:val="151"/>
        <w:spacing w:beforeLines="0" w:afterLines="0"/>
        <w:rPr>
          <w:rFonts w:ascii="宋体" w:hAnsi="宋体" w:eastAsia="宋体" w:cs="宋体"/>
          <w:color w:val="auto"/>
          <w:highlight w:val="none"/>
        </w:rPr>
      </w:pPr>
      <w:bookmarkStart w:id="134" w:name="_Toc30081_WPSOffice_Level2"/>
      <w:r>
        <w:rPr>
          <w:rFonts w:hint="eastAsia" w:ascii="宋体" w:hAnsi="宋体" w:eastAsia="宋体" w:cs="宋体"/>
          <w:color w:val="auto"/>
          <w:highlight w:val="none"/>
        </w:rPr>
        <w:t>6　评标</w:t>
      </w:r>
      <w:bookmarkEnd w:id="134"/>
    </w:p>
    <w:p>
      <w:pPr>
        <w:pStyle w:val="119"/>
        <w:spacing w:line="360" w:lineRule="auto"/>
        <w:rPr>
          <w:rFonts w:eastAsia="宋体" w:cs="宋体"/>
          <w:color w:val="auto"/>
          <w:sz w:val="21"/>
          <w:highlight w:val="none"/>
        </w:rPr>
      </w:pPr>
      <w:bookmarkStart w:id="135" w:name="_Toc16113_WPSOffice_Level3"/>
      <w:bookmarkStart w:id="136" w:name="_Toc23036_WPSOffice_Level3"/>
      <w:r>
        <w:rPr>
          <w:rFonts w:hint="eastAsia" w:eastAsia="宋体" w:cs="宋体"/>
          <w:color w:val="auto"/>
          <w:sz w:val="21"/>
          <w:highlight w:val="none"/>
        </w:rPr>
        <w:t>6.1　评标委员会</w:t>
      </w:r>
      <w:bookmarkEnd w:id="135"/>
      <w:bookmarkEnd w:id="136"/>
    </w:p>
    <w:p>
      <w:pPr>
        <w:pStyle w:val="120"/>
        <w:spacing w:line="360" w:lineRule="auto"/>
        <w:rPr>
          <w:rFonts w:eastAsia="宋体" w:cs="宋体"/>
          <w:color w:val="auto"/>
          <w:sz w:val="21"/>
          <w:highlight w:val="none"/>
        </w:rPr>
      </w:pPr>
      <w:r>
        <w:rPr>
          <w:rFonts w:hint="eastAsia" w:eastAsia="宋体" w:cs="宋体"/>
          <w:color w:val="auto"/>
          <w:sz w:val="21"/>
          <w:highlight w:val="none"/>
        </w:rPr>
        <w:t>6.1.1　评标由招标人依法组建的评标委员会负责。评标委员会由有关技术、经济等方面的专家组成。评标委员会成员人数以及技术、经济等方面专家的确定方式见投标人须知前附表。</w:t>
      </w:r>
    </w:p>
    <w:p>
      <w:pPr>
        <w:pStyle w:val="120"/>
        <w:spacing w:line="360" w:lineRule="auto"/>
        <w:rPr>
          <w:rFonts w:eastAsia="宋体" w:cs="宋体"/>
          <w:color w:val="auto"/>
          <w:sz w:val="21"/>
          <w:highlight w:val="none"/>
        </w:rPr>
      </w:pPr>
      <w:r>
        <w:rPr>
          <w:rFonts w:hint="eastAsia" w:eastAsia="宋体" w:cs="宋体"/>
          <w:color w:val="auto"/>
          <w:sz w:val="21"/>
          <w:highlight w:val="none"/>
        </w:rPr>
        <w:t>6.1.2　评标委员会成员有下列情形之一的，应当回避：</w:t>
      </w:r>
    </w:p>
    <w:p>
      <w:pPr>
        <w:pStyle w:val="120"/>
        <w:spacing w:line="360" w:lineRule="auto"/>
        <w:rPr>
          <w:rFonts w:eastAsia="宋体" w:cs="宋体"/>
          <w:color w:val="auto"/>
          <w:sz w:val="21"/>
          <w:highlight w:val="none"/>
        </w:rPr>
      </w:pPr>
      <w:r>
        <w:rPr>
          <w:rFonts w:hint="eastAsia" w:eastAsia="宋体" w:cs="宋体"/>
          <w:color w:val="auto"/>
          <w:sz w:val="21"/>
          <w:highlight w:val="none"/>
        </w:rPr>
        <w:t>（1）招标人或投标人的主要负责人的近亲属；</w:t>
      </w:r>
    </w:p>
    <w:p>
      <w:pPr>
        <w:pStyle w:val="120"/>
        <w:spacing w:line="360" w:lineRule="auto"/>
        <w:rPr>
          <w:rFonts w:eastAsia="宋体" w:cs="宋体"/>
          <w:color w:val="auto"/>
          <w:sz w:val="21"/>
          <w:highlight w:val="none"/>
        </w:rPr>
      </w:pPr>
      <w:r>
        <w:rPr>
          <w:rFonts w:hint="eastAsia" w:eastAsia="宋体" w:cs="宋体"/>
          <w:color w:val="auto"/>
          <w:sz w:val="21"/>
          <w:highlight w:val="none"/>
        </w:rPr>
        <w:t>（2）项目主管部门或者行政监督部门的人员；</w:t>
      </w:r>
    </w:p>
    <w:p>
      <w:pPr>
        <w:pStyle w:val="120"/>
        <w:spacing w:line="360" w:lineRule="auto"/>
        <w:rPr>
          <w:rFonts w:eastAsia="宋体" w:cs="宋体"/>
          <w:color w:val="auto"/>
          <w:sz w:val="21"/>
          <w:highlight w:val="none"/>
        </w:rPr>
      </w:pPr>
      <w:r>
        <w:rPr>
          <w:rFonts w:hint="eastAsia" w:eastAsia="宋体" w:cs="宋体"/>
          <w:color w:val="auto"/>
          <w:sz w:val="21"/>
          <w:highlight w:val="none"/>
        </w:rPr>
        <w:t>（3）与投标人有经济利益关系，可能影响对投标公正评审的；</w:t>
      </w:r>
    </w:p>
    <w:p>
      <w:pPr>
        <w:pStyle w:val="120"/>
        <w:spacing w:line="360" w:lineRule="auto"/>
        <w:rPr>
          <w:rFonts w:eastAsia="宋体" w:cs="宋体"/>
          <w:color w:val="auto"/>
          <w:sz w:val="21"/>
          <w:highlight w:val="none"/>
        </w:rPr>
      </w:pPr>
      <w:r>
        <w:rPr>
          <w:rFonts w:hint="eastAsia" w:eastAsia="宋体" w:cs="宋体"/>
          <w:color w:val="auto"/>
          <w:sz w:val="21"/>
          <w:highlight w:val="none"/>
        </w:rPr>
        <w:t>（4）曾因在招标、评标以及其他与招标投标有关活动中从事违法行为而受过行政处罚或刑事处罚的。</w:t>
      </w:r>
    </w:p>
    <w:p>
      <w:pPr>
        <w:pStyle w:val="119"/>
        <w:spacing w:line="360" w:lineRule="auto"/>
        <w:rPr>
          <w:rFonts w:eastAsia="宋体" w:cs="宋体"/>
          <w:color w:val="auto"/>
          <w:sz w:val="21"/>
          <w:highlight w:val="none"/>
        </w:rPr>
      </w:pPr>
      <w:bookmarkStart w:id="137" w:name="_Toc10375_WPSOffice_Level3"/>
      <w:bookmarkStart w:id="138" w:name="_Toc12907_WPSOffice_Level3"/>
      <w:r>
        <w:rPr>
          <w:rFonts w:hint="eastAsia" w:eastAsia="宋体" w:cs="宋体"/>
          <w:color w:val="auto"/>
          <w:sz w:val="21"/>
          <w:highlight w:val="none"/>
        </w:rPr>
        <w:t>6.2　评标原则</w:t>
      </w:r>
      <w:bookmarkEnd w:id="137"/>
      <w:bookmarkEnd w:id="138"/>
      <w:r>
        <w:rPr>
          <w:rFonts w:hint="eastAsia" w:eastAsia="宋体" w:cs="宋体"/>
          <w:color w:val="auto"/>
          <w:sz w:val="21"/>
          <w:highlight w:val="none"/>
        </w:rPr>
        <w:tab/>
      </w:r>
    </w:p>
    <w:p>
      <w:pPr>
        <w:pStyle w:val="120"/>
        <w:spacing w:line="360" w:lineRule="auto"/>
        <w:rPr>
          <w:rFonts w:eastAsia="宋体" w:cs="宋体"/>
          <w:color w:val="auto"/>
          <w:sz w:val="21"/>
          <w:highlight w:val="none"/>
        </w:rPr>
      </w:pPr>
      <w:r>
        <w:rPr>
          <w:rFonts w:hint="eastAsia" w:eastAsia="宋体" w:cs="宋体"/>
          <w:color w:val="auto"/>
          <w:sz w:val="21"/>
          <w:highlight w:val="none"/>
        </w:rPr>
        <w:t>评标活动遵循公平、公正、科学和择优的原则。</w:t>
      </w:r>
    </w:p>
    <w:p>
      <w:pPr>
        <w:pStyle w:val="119"/>
        <w:spacing w:line="360" w:lineRule="auto"/>
        <w:rPr>
          <w:rFonts w:eastAsia="宋体" w:cs="宋体"/>
          <w:color w:val="auto"/>
          <w:sz w:val="21"/>
          <w:highlight w:val="none"/>
        </w:rPr>
      </w:pPr>
      <w:bookmarkStart w:id="139" w:name="_Toc9666_WPSOffice_Level3"/>
      <w:bookmarkStart w:id="140" w:name="_Toc3343_WPSOffice_Level3"/>
      <w:r>
        <w:rPr>
          <w:rFonts w:hint="eastAsia" w:eastAsia="宋体" w:cs="宋体"/>
          <w:color w:val="auto"/>
          <w:sz w:val="21"/>
          <w:highlight w:val="none"/>
        </w:rPr>
        <w:t>6.3　评标</w:t>
      </w:r>
      <w:bookmarkEnd w:id="139"/>
      <w:bookmarkEnd w:id="140"/>
    </w:p>
    <w:p>
      <w:pPr>
        <w:pStyle w:val="120"/>
        <w:spacing w:line="360" w:lineRule="auto"/>
        <w:rPr>
          <w:rFonts w:eastAsia="宋体" w:cs="宋体"/>
          <w:color w:val="auto"/>
          <w:szCs w:val="24"/>
          <w:highlight w:val="none"/>
        </w:rPr>
      </w:pPr>
      <w:r>
        <w:rPr>
          <w:rFonts w:hint="eastAsia" w:eastAsia="宋体" w:cs="宋体"/>
          <w:color w:val="auto"/>
          <w:sz w:val="21"/>
          <w:highlight w:val="none"/>
        </w:rPr>
        <w:t>评标委员会按照第三章“评标办法”规定的方法、评审因素、标准和程序对投标文件进行评审。第三章“评标办法”没有规定的方法、评审因素和标准，不作为评标依据。</w:t>
      </w:r>
    </w:p>
    <w:p>
      <w:pPr>
        <w:pStyle w:val="151"/>
        <w:spacing w:beforeLines="0" w:afterLines="0"/>
        <w:outlineLvl w:val="0"/>
        <w:rPr>
          <w:rFonts w:ascii="宋体" w:hAnsi="宋体" w:eastAsia="宋体" w:cs="宋体"/>
          <w:color w:val="auto"/>
          <w:highlight w:val="none"/>
        </w:rPr>
      </w:pPr>
      <w:bookmarkStart w:id="141" w:name="_Toc1144_WPSOffice_Level2"/>
      <w:r>
        <w:rPr>
          <w:rFonts w:hint="eastAsia" w:ascii="宋体" w:hAnsi="宋体" w:eastAsia="宋体" w:cs="宋体"/>
          <w:color w:val="auto"/>
          <w:highlight w:val="none"/>
        </w:rPr>
        <w:t>7　合同授予</w:t>
      </w:r>
      <w:bookmarkEnd w:id="141"/>
    </w:p>
    <w:p>
      <w:pPr>
        <w:pStyle w:val="119"/>
        <w:spacing w:line="360" w:lineRule="auto"/>
        <w:rPr>
          <w:rFonts w:eastAsia="宋体" w:cs="宋体"/>
          <w:color w:val="auto"/>
          <w:sz w:val="21"/>
          <w:highlight w:val="none"/>
        </w:rPr>
      </w:pPr>
      <w:bookmarkStart w:id="142" w:name="_Toc20140_WPSOffice_Level3"/>
      <w:bookmarkStart w:id="143" w:name="_Toc31771_WPSOffice_Level3"/>
      <w:r>
        <w:rPr>
          <w:rFonts w:hint="eastAsia" w:eastAsia="宋体" w:cs="宋体"/>
          <w:color w:val="auto"/>
          <w:sz w:val="21"/>
          <w:highlight w:val="none"/>
        </w:rPr>
        <w:t>7.1　定标方式</w:t>
      </w:r>
      <w:bookmarkEnd w:id="142"/>
      <w:bookmarkEnd w:id="143"/>
    </w:p>
    <w:p>
      <w:pPr>
        <w:pStyle w:val="120"/>
        <w:spacing w:line="360" w:lineRule="auto"/>
        <w:rPr>
          <w:rFonts w:eastAsia="宋体" w:cs="宋体"/>
          <w:color w:val="auto"/>
          <w:sz w:val="21"/>
          <w:highlight w:val="none"/>
        </w:rPr>
      </w:pPr>
      <w:r>
        <w:rPr>
          <w:rFonts w:hint="eastAsia" w:eastAsia="宋体" w:cs="宋体"/>
          <w:color w:val="auto"/>
          <w:sz w:val="21"/>
          <w:highlight w:val="none"/>
        </w:rPr>
        <w:t>评标委员会推荐3名中标候选人，并标明推荐顺序。招标人依据评标委员会推荐的中标候选人确定中标人。</w:t>
      </w:r>
    </w:p>
    <w:p>
      <w:pPr>
        <w:pStyle w:val="119"/>
        <w:spacing w:line="360" w:lineRule="auto"/>
        <w:rPr>
          <w:rFonts w:eastAsia="宋体" w:cs="宋体"/>
          <w:color w:val="auto"/>
          <w:sz w:val="21"/>
          <w:highlight w:val="none"/>
        </w:rPr>
      </w:pPr>
      <w:bookmarkStart w:id="144" w:name="_Toc6008_WPSOffice_Level3"/>
      <w:bookmarkStart w:id="145" w:name="_Toc8339_WPSOffice_Level3"/>
      <w:r>
        <w:rPr>
          <w:rFonts w:hint="eastAsia" w:eastAsia="宋体" w:cs="宋体"/>
          <w:color w:val="auto"/>
          <w:sz w:val="21"/>
          <w:highlight w:val="none"/>
        </w:rPr>
        <w:t>7.2　中标通知</w:t>
      </w:r>
      <w:bookmarkEnd w:id="144"/>
      <w:bookmarkEnd w:id="145"/>
    </w:p>
    <w:p>
      <w:pPr>
        <w:pStyle w:val="120"/>
        <w:spacing w:line="360" w:lineRule="auto"/>
        <w:rPr>
          <w:rFonts w:eastAsia="宋体" w:cs="宋体"/>
          <w:color w:val="auto"/>
          <w:sz w:val="21"/>
          <w:highlight w:val="none"/>
        </w:rPr>
      </w:pPr>
      <w:r>
        <w:rPr>
          <w:rFonts w:hint="eastAsia" w:eastAsia="宋体" w:cs="宋体"/>
          <w:color w:val="auto"/>
          <w:sz w:val="21"/>
          <w:highlight w:val="none"/>
        </w:rPr>
        <w:t>在本章第3.3款规定的投标有效期内，招标人以书面形式向中标人发出中标通知书，同时将中标结果通知未中标的投标人。</w:t>
      </w:r>
    </w:p>
    <w:p>
      <w:pPr>
        <w:pStyle w:val="119"/>
        <w:spacing w:line="360" w:lineRule="auto"/>
        <w:rPr>
          <w:rFonts w:eastAsia="宋体" w:cs="宋体"/>
          <w:color w:val="auto"/>
          <w:sz w:val="21"/>
          <w:highlight w:val="none"/>
        </w:rPr>
      </w:pPr>
      <w:bookmarkStart w:id="146" w:name="_Toc7058_WPSOffice_Level3"/>
      <w:bookmarkStart w:id="147" w:name="_Toc31134_WPSOffice_Level3"/>
      <w:r>
        <w:rPr>
          <w:rFonts w:hint="eastAsia" w:eastAsia="宋体" w:cs="宋体"/>
          <w:color w:val="auto"/>
          <w:sz w:val="21"/>
          <w:highlight w:val="none"/>
        </w:rPr>
        <w:t>7.3　履约担保</w:t>
      </w:r>
      <w:bookmarkEnd w:id="146"/>
      <w:bookmarkEnd w:id="147"/>
    </w:p>
    <w:p>
      <w:pPr>
        <w:pStyle w:val="120"/>
        <w:spacing w:line="360" w:lineRule="auto"/>
        <w:rPr>
          <w:rFonts w:eastAsia="宋体" w:cs="宋体"/>
          <w:color w:val="auto"/>
          <w:sz w:val="21"/>
          <w:highlight w:val="none"/>
        </w:rPr>
      </w:pPr>
      <w:r>
        <w:rPr>
          <w:rFonts w:hint="eastAsia" w:eastAsia="宋体" w:cs="宋体"/>
          <w:color w:val="auto"/>
          <w:sz w:val="21"/>
          <w:highlight w:val="none"/>
        </w:rPr>
        <w:t>7.3.1　在签订合同前，中标人应按投标人须知前附表规定的金额、担保形式和招标文件向招标人提交履约担保。</w:t>
      </w:r>
    </w:p>
    <w:p>
      <w:pPr>
        <w:pStyle w:val="120"/>
        <w:spacing w:line="360" w:lineRule="auto"/>
        <w:rPr>
          <w:rFonts w:eastAsia="宋体" w:cs="宋体"/>
          <w:color w:val="auto"/>
          <w:sz w:val="21"/>
          <w:highlight w:val="none"/>
        </w:rPr>
      </w:pPr>
      <w:r>
        <w:rPr>
          <w:rFonts w:hint="eastAsia" w:eastAsia="宋体" w:cs="宋体"/>
          <w:color w:val="auto"/>
          <w:sz w:val="21"/>
          <w:highlight w:val="none"/>
        </w:rPr>
        <w:t>7.3.2　中标人不能按本章第7.3.1项要求提交履约担保的，视为放弃中标，其投标保证金不予退还，给招标人造成的损失超过投标保证金数额的，中标人还应当对超过部分予以赔偿。</w:t>
      </w:r>
    </w:p>
    <w:p>
      <w:pPr>
        <w:pStyle w:val="119"/>
        <w:spacing w:line="360" w:lineRule="auto"/>
        <w:rPr>
          <w:rFonts w:eastAsia="宋体" w:cs="宋体"/>
          <w:color w:val="auto"/>
          <w:sz w:val="21"/>
          <w:highlight w:val="none"/>
        </w:rPr>
      </w:pPr>
      <w:bookmarkStart w:id="148" w:name="_Toc9261_WPSOffice_Level3"/>
      <w:bookmarkStart w:id="149" w:name="_Toc7589_WPSOffice_Level3"/>
      <w:r>
        <w:rPr>
          <w:rFonts w:hint="eastAsia" w:eastAsia="宋体" w:cs="宋体"/>
          <w:color w:val="auto"/>
          <w:sz w:val="21"/>
          <w:highlight w:val="none"/>
        </w:rPr>
        <w:t>7.4 签订合同</w:t>
      </w:r>
      <w:bookmarkEnd w:id="148"/>
      <w:bookmarkEnd w:id="149"/>
    </w:p>
    <w:p>
      <w:pPr>
        <w:pStyle w:val="120"/>
        <w:spacing w:line="360" w:lineRule="auto"/>
        <w:rPr>
          <w:rFonts w:eastAsia="宋体" w:cs="宋体"/>
          <w:color w:val="auto"/>
          <w:sz w:val="21"/>
          <w:highlight w:val="none"/>
        </w:rPr>
      </w:pPr>
      <w:r>
        <w:rPr>
          <w:rFonts w:hint="eastAsia" w:eastAsia="宋体" w:cs="宋体"/>
          <w:color w:val="auto"/>
          <w:sz w:val="21"/>
          <w:highlight w:val="none"/>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Style w:val="120"/>
        <w:spacing w:line="360" w:lineRule="auto"/>
        <w:rPr>
          <w:rFonts w:eastAsia="宋体" w:cs="宋体"/>
          <w:color w:val="auto"/>
          <w:szCs w:val="24"/>
          <w:highlight w:val="none"/>
        </w:rPr>
      </w:pPr>
      <w:r>
        <w:rPr>
          <w:rFonts w:hint="eastAsia" w:eastAsia="宋体" w:cs="宋体"/>
          <w:color w:val="auto"/>
          <w:sz w:val="21"/>
          <w:highlight w:val="none"/>
        </w:rPr>
        <w:t>7.4.2发出中标通知书后，招标人无正当理由拒签合同的，招标人向中标人退还投标保证金，并按投标保证金双倍的金额补偿投标人损失。</w:t>
      </w:r>
    </w:p>
    <w:p>
      <w:pPr>
        <w:pStyle w:val="151"/>
        <w:spacing w:beforeLines="0" w:afterLines="0"/>
        <w:rPr>
          <w:rFonts w:ascii="宋体" w:hAnsi="宋体" w:eastAsia="宋体" w:cs="宋体"/>
          <w:color w:val="auto"/>
          <w:highlight w:val="none"/>
        </w:rPr>
      </w:pPr>
      <w:bookmarkStart w:id="150" w:name="_Toc222032657"/>
      <w:bookmarkStart w:id="151" w:name="_Toc72143275"/>
      <w:bookmarkStart w:id="152" w:name="_Toc222030990"/>
      <w:bookmarkStart w:id="153" w:name="_Toc229305348"/>
      <w:bookmarkStart w:id="154" w:name="_Toc221950220"/>
      <w:bookmarkStart w:id="155" w:name="_Toc168476089"/>
      <w:bookmarkStart w:id="156" w:name="_Toc229408470"/>
      <w:bookmarkStart w:id="157" w:name="_Toc222029488"/>
      <w:bookmarkStart w:id="158" w:name="_Toc222033839"/>
      <w:bookmarkStart w:id="159" w:name="_Toc144974539"/>
      <w:bookmarkStart w:id="160" w:name="_Toc168475686"/>
      <w:r>
        <w:rPr>
          <w:rFonts w:hint="eastAsia" w:ascii="宋体" w:hAnsi="宋体" w:eastAsia="宋体" w:cs="宋体"/>
          <w:color w:val="auto"/>
          <w:highlight w:val="none"/>
        </w:rPr>
        <w:t>8. 重新招标或经批准不招标</w:t>
      </w:r>
      <w:bookmarkEnd w:id="150"/>
      <w:bookmarkEnd w:id="151"/>
      <w:bookmarkEnd w:id="152"/>
      <w:bookmarkEnd w:id="153"/>
      <w:bookmarkEnd w:id="154"/>
      <w:bookmarkEnd w:id="155"/>
      <w:bookmarkEnd w:id="156"/>
      <w:bookmarkEnd w:id="157"/>
      <w:bookmarkEnd w:id="158"/>
      <w:bookmarkEnd w:id="159"/>
      <w:bookmarkEnd w:id="160"/>
    </w:p>
    <w:p>
      <w:pPr>
        <w:pStyle w:val="120"/>
        <w:spacing w:line="360" w:lineRule="auto"/>
        <w:rPr>
          <w:rFonts w:eastAsia="宋体" w:cs="宋体"/>
          <w:color w:val="auto"/>
          <w:sz w:val="21"/>
          <w:highlight w:val="none"/>
        </w:rPr>
      </w:pPr>
      <w:bookmarkStart w:id="161" w:name="_Toc70669363"/>
      <w:bookmarkStart w:id="162" w:name="_Toc144974540"/>
      <w:bookmarkStart w:id="163" w:name="_Toc179632590"/>
      <w:bookmarkStart w:id="164" w:name="_Toc71381594"/>
      <w:bookmarkStart w:id="165" w:name="_Toc72143276"/>
      <w:bookmarkStart w:id="166" w:name="_Toc152045572"/>
      <w:bookmarkStart w:id="167" w:name="_Toc152042348"/>
      <w:bookmarkStart w:id="168" w:name="_Toc221950225"/>
      <w:r>
        <w:rPr>
          <w:rFonts w:hint="eastAsia" w:eastAsia="宋体" w:cs="宋体"/>
          <w:color w:val="auto"/>
          <w:sz w:val="21"/>
          <w:highlight w:val="none"/>
        </w:rPr>
        <w:t>8.1 重新招标</w:t>
      </w:r>
      <w:bookmarkEnd w:id="161"/>
      <w:bookmarkEnd w:id="162"/>
      <w:bookmarkEnd w:id="163"/>
      <w:bookmarkEnd w:id="164"/>
      <w:bookmarkEnd w:id="165"/>
      <w:bookmarkEnd w:id="166"/>
      <w:bookmarkEnd w:id="167"/>
    </w:p>
    <w:p>
      <w:pPr>
        <w:pStyle w:val="120"/>
        <w:spacing w:line="360" w:lineRule="auto"/>
        <w:rPr>
          <w:rFonts w:eastAsia="宋体" w:cs="宋体"/>
          <w:color w:val="auto"/>
          <w:sz w:val="21"/>
          <w:highlight w:val="none"/>
        </w:rPr>
      </w:pPr>
      <w:r>
        <w:rPr>
          <w:rFonts w:hint="eastAsia" w:eastAsia="宋体" w:cs="宋体"/>
          <w:color w:val="auto"/>
          <w:sz w:val="21"/>
          <w:highlight w:val="none"/>
        </w:rPr>
        <w:t>有下列情形之一的，招标人将重新招标：</w:t>
      </w:r>
    </w:p>
    <w:p>
      <w:pPr>
        <w:pStyle w:val="120"/>
        <w:spacing w:line="360" w:lineRule="auto"/>
        <w:rPr>
          <w:rFonts w:eastAsia="宋体" w:cs="宋体"/>
          <w:color w:val="auto"/>
          <w:sz w:val="21"/>
          <w:highlight w:val="none"/>
        </w:rPr>
      </w:pPr>
      <w:r>
        <w:rPr>
          <w:rFonts w:hint="eastAsia" w:eastAsia="宋体" w:cs="宋体"/>
          <w:color w:val="auto"/>
          <w:sz w:val="21"/>
          <w:highlight w:val="none"/>
        </w:rPr>
        <w:t>（1）投标截止时间止，投标人少于3个的；</w:t>
      </w:r>
    </w:p>
    <w:p>
      <w:pPr>
        <w:pStyle w:val="120"/>
        <w:spacing w:line="360" w:lineRule="auto"/>
        <w:rPr>
          <w:rFonts w:eastAsia="宋体" w:cs="宋体"/>
          <w:color w:val="auto"/>
          <w:sz w:val="21"/>
          <w:highlight w:val="none"/>
        </w:rPr>
      </w:pPr>
      <w:r>
        <w:rPr>
          <w:rFonts w:hint="eastAsia" w:eastAsia="宋体" w:cs="宋体"/>
          <w:color w:val="auto"/>
          <w:sz w:val="21"/>
          <w:highlight w:val="none"/>
        </w:rPr>
        <w:t>（2）经评标委员会评审后否决所有投标的；</w:t>
      </w:r>
    </w:p>
    <w:p>
      <w:pPr>
        <w:pStyle w:val="120"/>
        <w:spacing w:line="360" w:lineRule="auto"/>
        <w:rPr>
          <w:rFonts w:eastAsia="宋体" w:cs="宋体"/>
          <w:color w:val="auto"/>
          <w:sz w:val="21"/>
          <w:highlight w:val="none"/>
        </w:rPr>
      </w:pPr>
      <w:r>
        <w:rPr>
          <w:rFonts w:hint="eastAsia" w:eastAsia="宋体" w:cs="宋体"/>
          <w:color w:val="auto"/>
          <w:sz w:val="21"/>
          <w:highlight w:val="none"/>
        </w:rPr>
        <w:t>（3）评标委员会否决不合格投标或者界定为否决投标后因有效投标不足3个使得投标明显缺乏竞争，评标委员会决定否决全部投标的；</w:t>
      </w:r>
    </w:p>
    <w:p>
      <w:pPr>
        <w:pStyle w:val="120"/>
        <w:spacing w:line="360" w:lineRule="auto"/>
        <w:rPr>
          <w:rFonts w:eastAsia="宋体" w:cs="宋体"/>
          <w:color w:val="auto"/>
          <w:sz w:val="21"/>
          <w:highlight w:val="none"/>
        </w:rPr>
      </w:pPr>
      <w:r>
        <w:rPr>
          <w:rFonts w:hint="eastAsia" w:eastAsia="宋体" w:cs="宋体"/>
          <w:color w:val="auto"/>
          <w:sz w:val="21"/>
          <w:highlight w:val="none"/>
        </w:rPr>
        <w:t>（4）需要延长时，同意延长投标有效期的投标人少于3个的；</w:t>
      </w:r>
    </w:p>
    <w:p>
      <w:pPr>
        <w:pStyle w:val="120"/>
        <w:spacing w:line="360" w:lineRule="auto"/>
        <w:rPr>
          <w:rFonts w:eastAsia="宋体" w:cs="宋体"/>
          <w:color w:val="auto"/>
          <w:sz w:val="21"/>
          <w:highlight w:val="none"/>
        </w:rPr>
      </w:pPr>
      <w:r>
        <w:rPr>
          <w:rFonts w:hint="eastAsia" w:eastAsia="宋体" w:cs="宋体"/>
          <w:color w:val="auto"/>
          <w:sz w:val="21"/>
          <w:highlight w:val="none"/>
        </w:rPr>
        <w:t>（5）中标候选人均未与招标人签订合同的。</w:t>
      </w:r>
    </w:p>
    <w:p>
      <w:pPr>
        <w:pStyle w:val="120"/>
        <w:spacing w:line="360" w:lineRule="auto"/>
        <w:rPr>
          <w:rFonts w:eastAsia="宋体" w:cs="宋体"/>
          <w:color w:val="auto"/>
          <w:sz w:val="21"/>
          <w:highlight w:val="none"/>
        </w:rPr>
      </w:pPr>
      <w:bookmarkStart w:id="169" w:name="_Toc72143277"/>
      <w:bookmarkStart w:id="170" w:name="_Toc70669364"/>
      <w:bookmarkStart w:id="171" w:name="_Toc144974541"/>
      <w:bookmarkStart w:id="172" w:name="_Toc179632591"/>
      <w:bookmarkStart w:id="173" w:name="_Toc152042349"/>
      <w:bookmarkStart w:id="174" w:name="_Toc152045573"/>
      <w:bookmarkStart w:id="175" w:name="_Toc71381595"/>
      <w:r>
        <w:rPr>
          <w:rFonts w:hint="eastAsia" w:eastAsia="宋体" w:cs="宋体"/>
          <w:color w:val="auto"/>
          <w:sz w:val="21"/>
          <w:highlight w:val="none"/>
        </w:rPr>
        <w:t>8.2 二次招标和不再招标</w:t>
      </w:r>
      <w:bookmarkEnd w:id="169"/>
      <w:bookmarkEnd w:id="170"/>
      <w:bookmarkEnd w:id="171"/>
      <w:bookmarkEnd w:id="172"/>
      <w:bookmarkEnd w:id="173"/>
      <w:bookmarkEnd w:id="174"/>
      <w:bookmarkEnd w:id="175"/>
    </w:p>
    <w:bookmarkEnd w:id="168"/>
    <w:p>
      <w:pPr>
        <w:pStyle w:val="120"/>
        <w:spacing w:line="360" w:lineRule="auto"/>
        <w:rPr>
          <w:rFonts w:eastAsia="宋体" w:cs="宋体"/>
          <w:color w:val="auto"/>
          <w:sz w:val="21"/>
          <w:highlight w:val="none"/>
        </w:rPr>
      </w:pPr>
      <w:r>
        <w:rPr>
          <w:rFonts w:eastAsia="宋体" w:cs="宋体"/>
          <w:color w:val="auto"/>
          <w:sz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pStyle w:val="151"/>
        <w:spacing w:beforeLines="0" w:afterLines="0"/>
        <w:rPr>
          <w:rFonts w:ascii="宋体" w:hAnsi="宋体" w:eastAsia="宋体" w:cs="宋体"/>
          <w:color w:val="auto"/>
          <w:highlight w:val="none"/>
        </w:rPr>
      </w:pPr>
      <w:bookmarkStart w:id="176" w:name="_Toc25126_WPSOffice_Level2"/>
      <w:r>
        <w:rPr>
          <w:rFonts w:hint="eastAsia" w:ascii="宋体" w:hAnsi="宋体" w:eastAsia="宋体" w:cs="宋体"/>
          <w:color w:val="auto"/>
          <w:highlight w:val="none"/>
        </w:rPr>
        <w:t>9　纪律和监督</w:t>
      </w:r>
      <w:bookmarkEnd w:id="176"/>
    </w:p>
    <w:p>
      <w:pPr>
        <w:pStyle w:val="119"/>
        <w:spacing w:line="360" w:lineRule="auto"/>
        <w:rPr>
          <w:rFonts w:eastAsia="宋体" w:cs="宋体"/>
          <w:color w:val="auto"/>
          <w:sz w:val="21"/>
          <w:highlight w:val="none"/>
        </w:rPr>
      </w:pPr>
      <w:bookmarkStart w:id="177" w:name="_Toc23441_WPSOffice_Level3"/>
      <w:bookmarkStart w:id="178" w:name="_Toc17276_WPSOffice_Level3"/>
      <w:r>
        <w:rPr>
          <w:rFonts w:hint="eastAsia" w:eastAsia="宋体" w:cs="宋体"/>
          <w:color w:val="auto"/>
          <w:sz w:val="21"/>
          <w:highlight w:val="none"/>
        </w:rPr>
        <w:t>9.1　对招标人的纪律要求</w:t>
      </w:r>
      <w:bookmarkEnd w:id="177"/>
      <w:bookmarkEnd w:id="178"/>
    </w:p>
    <w:p>
      <w:pPr>
        <w:pStyle w:val="120"/>
        <w:spacing w:line="360" w:lineRule="auto"/>
        <w:rPr>
          <w:rFonts w:eastAsia="宋体" w:cs="宋体"/>
          <w:color w:val="auto"/>
          <w:sz w:val="21"/>
          <w:highlight w:val="none"/>
        </w:rPr>
      </w:pPr>
      <w:r>
        <w:rPr>
          <w:rFonts w:hint="eastAsia" w:eastAsia="宋体" w:cs="宋体"/>
          <w:color w:val="auto"/>
          <w:sz w:val="21"/>
          <w:highlight w:val="none"/>
        </w:rPr>
        <w:t>招标人不得泄漏招标投标活动中应当保密的情况和资料，不得与投标人串通损害国家利益、社会公共利益或者他人合法权益。</w:t>
      </w:r>
    </w:p>
    <w:p>
      <w:pPr>
        <w:pStyle w:val="120"/>
        <w:spacing w:line="360" w:lineRule="auto"/>
        <w:rPr>
          <w:rFonts w:eastAsia="宋体" w:cs="宋体"/>
          <w:color w:val="auto"/>
          <w:sz w:val="21"/>
          <w:highlight w:val="none"/>
        </w:rPr>
      </w:pPr>
      <w:r>
        <w:rPr>
          <w:rFonts w:hint="eastAsia" w:eastAsia="宋体" w:cs="宋体"/>
          <w:color w:val="auto"/>
          <w:sz w:val="21"/>
          <w:highlight w:val="none"/>
        </w:rPr>
        <w:t>下列行为均属招标人与投标人串通投标：</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（1）招标人在开标前开启投标文件，并将投标情况告知其它投标人，或者协助投标人撤换投标文件，更改报价； </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（2）招标人向投标人泄露标底； </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（3）招标人与投标人商定，投标时压低或抬高标价，中标后再给投标人或招标人额外补偿； </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（4）招标人预先内定中标人； </w:t>
      </w:r>
    </w:p>
    <w:p>
      <w:pPr>
        <w:pStyle w:val="120"/>
        <w:spacing w:line="360" w:lineRule="auto"/>
        <w:rPr>
          <w:rFonts w:eastAsia="宋体" w:cs="宋体"/>
          <w:color w:val="auto"/>
          <w:sz w:val="21"/>
          <w:highlight w:val="none"/>
        </w:rPr>
      </w:pPr>
      <w:r>
        <w:rPr>
          <w:rFonts w:hint="eastAsia" w:eastAsia="宋体" w:cs="宋体"/>
          <w:color w:val="auto"/>
          <w:sz w:val="21"/>
          <w:highlight w:val="none"/>
        </w:rPr>
        <w:t>（5）其它串通投标行为。</w:t>
      </w:r>
    </w:p>
    <w:p>
      <w:pPr>
        <w:pStyle w:val="119"/>
        <w:spacing w:line="360" w:lineRule="auto"/>
        <w:rPr>
          <w:rFonts w:eastAsia="宋体" w:cs="宋体"/>
          <w:color w:val="auto"/>
          <w:sz w:val="21"/>
          <w:highlight w:val="none"/>
        </w:rPr>
      </w:pPr>
      <w:bookmarkStart w:id="179" w:name="_Toc4067_WPSOffice_Level3"/>
      <w:bookmarkStart w:id="180" w:name="_Toc20069_WPSOffice_Level3"/>
      <w:r>
        <w:rPr>
          <w:rFonts w:hint="eastAsia" w:eastAsia="宋体" w:cs="宋体"/>
          <w:color w:val="auto"/>
          <w:sz w:val="21"/>
          <w:highlight w:val="none"/>
        </w:rPr>
        <w:t>9.2　对投标人的纪律要求</w:t>
      </w:r>
      <w:bookmarkEnd w:id="179"/>
      <w:bookmarkEnd w:id="180"/>
    </w:p>
    <w:p>
      <w:pPr>
        <w:pStyle w:val="120"/>
        <w:spacing w:line="360" w:lineRule="auto"/>
        <w:rPr>
          <w:rFonts w:eastAsia="宋体" w:cs="宋体"/>
          <w:color w:val="auto"/>
          <w:sz w:val="21"/>
          <w:highlight w:val="none"/>
        </w:rPr>
      </w:pPr>
      <w:r>
        <w:rPr>
          <w:rFonts w:hint="eastAsia" w:eastAsia="宋体" w:cs="宋体"/>
          <w:color w:val="auto"/>
          <w:sz w:val="21"/>
          <w:highlight w:val="none"/>
        </w:rPr>
        <w:t>投标人不得相互串通投标或者与招标人串通投标，不得向招标人或者评标委员会成员行贿谋取中标，不得以他人名义投标或者以其它方式弄虚作假骗取中标；投标人不得以任何方式干扰、影响评标工作。</w:t>
      </w:r>
    </w:p>
    <w:p>
      <w:pPr>
        <w:pStyle w:val="120"/>
        <w:spacing w:line="360" w:lineRule="auto"/>
        <w:rPr>
          <w:rFonts w:eastAsia="宋体" w:cs="宋体"/>
          <w:color w:val="auto"/>
          <w:sz w:val="21"/>
          <w:highlight w:val="none"/>
        </w:rPr>
      </w:pPr>
      <w:r>
        <w:rPr>
          <w:rFonts w:hint="eastAsia" w:eastAsia="宋体" w:cs="宋体"/>
          <w:color w:val="auto"/>
          <w:sz w:val="21"/>
          <w:highlight w:val="none"/>
        </w:rPr>
        <w:t>9.2.1　下列行为均属以他人名义投标：</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（1）投标人挂靠其它单位； </w:t>
      </w:r>
    </w:p>
    <w:p>
      <w:pPr>
        <w:pStyle w:val="120"/>
        <w:spacing w:line="360" w:lineRule="auto"/>
        <w:rPr>
          <w:rFonts w:eastAsia="宋体" w:cs="宋体"/>
          <w:color w:val="auto"/>
          <w:sz w:val="21"/>
          <w:highlight w:val="none"/>
        </w:rPr>
      </w:pPr>
      <w:r>
        <w:rPr>
          <w:rFonts w:hint="eastAsia" w:eastAsia="宋体" w:cs="宋体"/>
          <w:color w:val="auto"/>
          <w:sz w:val="21"/>
          <w:highlight w:val="none"/>
        </w:rPr>
        <w:t>（2）投标人从其它单位通过转让或租借的方式获取资格或资质证书；</w:t>
      </w:r>
    </w:p>
    <w:p>
      <w:pPr>
        <w:pStyle w:val="120"/>
        <w:spacing w:line="360" w:lineRule="auto"/>
        <w:rPr>
          <w:rFonts w:eastAsia="宋体" w:cs="宋体"/>
          <w:color w:val="auto"/>
          <w:sz w:val="21"/>
          <w:highlight w:val="none"/>
        </w:rPr>
      </w:pPr>
      <w:r>
        <w:rPr>
          <w:rFonts w:hint="eastAsia" w:eastAsia="宋体" w:cs="宋体"/>
          <w:color w:val="auto"/>
          <w:sz w:val="21"/>
          <w:highlight w:val="none"/>
        </w:rPr>
        <w:t>（3）由其它单位及法定代表人</w:t>
      </w:r>
      <w:r>
        <w:rPr>
          <w:rFonts w:hint="eastAsia" w:ascii="宋体" w:hAnsi="宋体" w:eastAsia="宋体" w:cs="宋体"/>
          <w:snapToGrid w:val="0"/>
          <w:color w:val="auto"/>
          <w:sz w:val="21"/>
          <w:szCs w:val="21"/>
          <w:highlight w:val="none"/>
          <w:lang w:eastAsia="zh-CN"/>
        </w:rPr>
        <w:t>（单位负责人）</w:t>
      </w:r>
      <w:r>
        <w:rPr>
          <w:rFonts w:hint="eastAsia" w:eastAsia="宋体" w:cs="宋体"/>
          <w:color w:val="auto"/>
          <w:sz w:val="21"/>
          <w:highlight w:val="none"/>
        </w:rPr>
        <w:t>在自己编制的投标文件上加盖印章或签字的行为。</w:t>
      </w:r>
    </w:p>
    <w:p>
      <w:pPr>
        <w:pStyle w:val="120"/>
        <w:spacing w:line="360" w:lineRule="auto"/>
        <w:rPr>
          <w:rFonts w:eastAsia="宋体" w:cs="宋体"/>
          <w:color w:val="auto"/>
          <w:sz w:val="21"/>
          <w:highlight w:val="none"/>
        </w:rPr>
      </w:pPr>
      <w:r>
        <w:rPr>
          <w:rFonts w:hint="eastAsia" w:eastAsia="宋体" w:cs="宋体"/>
          <w:color w:val="auto"/>
          <w:sz w:val="21"/>
          <w:highlight w:val="none"/>
        </w:rPr>
        <w:t>9.2.2　下列行为 视为允许他人以本单位名义承揽工程</w:t>
      </w:r>
    </w:p>
    <w:p>
      <w:pPr>
        <w:pStyle w:val="120"/>
        <w:spacing w:line="360" w:lineRule="auto"/>
        <w:rPr>
          <w:rFonts w:eastAsia="宋体" w:cs="宋体"/>
          <w:color w:val="auto"/>
          <w:sz w:val="21"/>
          <w:highlight w:val="none"/>
        </w:rPr>
      </w:pPr>
      <w:r>
        <w:rPr>
          <w:rFonts w:hint="eastAsia" w:eastAsia="宋体" w:cs="宋体"/>
          <w:color w:val="auto"/>
          <w:sz w:val="21"/>
          <w:highlight w:val="none"/>
        </w:rPr>
        <w:t>（1）投标人的法定代表人</w:t>
      </w:r>
      <w:r>
        <w:rPr>
          <w:rFonts w:hint="eastAsia" w:ascii="宋体" w:hAnsi="宋体" w:eastAsia="宋体" w:cs="宋体"/>
          <w:snapToGrid w:val="0"/>
          <w:color w:val="auto"/>
          <w:sz w:val="21"/>
          <w:szCs w:val="21"/>
          <w:highlight w:val="none"/>
          <w:lang w:eastAsia="zh-CN"/>
        </w:rPr>
        <w:t>（单位负责人）</w:t>
      </w:r>
      <w:r>
        <w:rPr>
          <w:rFonts w:hint="eastAsia" w:eastAsia="宋体" w:cs="宋体"/>
          <w:color w:val="auto"/>
          <w:sz w:val="21"/>
          <w:highlight w:val="none"/>
        </w:rPr>
        <w:t>的委托代理人不是投标人本单位人员；</w:t>
      </w:r>
    </w:p>
    <w:p>
      <w:pPr>
        <w:pStyle w:val="120"/>
        <w:spacing w:line="360" w:lineRule="auto"/>
        <w:rPr>
          <w:rFonts w:eastAsia="宋体" w:cs="宋体"/>
          <w:color w:val="auto"/>
          <w:sz w:val="21"/>
          <w:highlight w:val="none"/>
        </w:rPr>
      </w:pPr>
      <w:r>
        <w:rPr>
          <w:rFonts w:hint="eastAsia" w:eastAsia="宋体" w:cs="宋体"/>
          <w:color w:val="auto"/>
          <w:sz w:val="21"/>
          <w:highlight w:val="none"/>
        </w:rPr>
        <w:t>（2）投标人拟所设项目管理机构的人员不是本单位人员。</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投标人本单位人员 必须同时满足以下条件： </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（1）聘任合同必须由投标人单位与之签订；  </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（2）与投标人单位有合法的工资关系； </w:t>
      </w:r>
    </w:p>
    <w:p>
      <w:pPr>
        <w:pStyle w:val="120"/>
        <w:spacing w:line="360" w:lineRule="auto"/>
        <w:rPr>
          <w:rFonts w:eastAsia="宋体" w:cs="宋体"/>
          <w:color w:val="auto"/>
          <w:sz w:val="21"/>
          <w:highlight w:val="none"/>
        </w:rPr>
      </w:pPr>
      <w:r>
        <w:rPr>
          <w:rFonts w:hint="eastAsia" w:eastAsia="宋体" w:cs="宋体"/>
          <w:color w:val="auto"/>
          <w:sz w:val="21"/>
          <w:highlight w:val="none"/>
        </w:rPr>
        <w:t>（3）投标人单位为其办理社会保险关系，或具有其它有效证明其为本单位人员身份的文件。</w:t>
      </w:r>
    </w:p>
    <w:p>
      <w:pPr>
        <w:pStyle w:val="120"/>
        <w:spacing w:line="360" w:lineRule="auto"/>
        <w:rPr>
          <w:rFonts w:eastAsia="宋体" w:cs="宋体"/>
          <w:color w:val="auto"/>
          <w:sz w:val="21"/>
          <w:highlight w:val="none"/>
        </w:rPr>
      </w:pPr>
      <w:r>
        <w:rPr>
          <w:rFonts w:hint="eastAsia" w:eastAsia="宋体" w:cs="宋体"/>
          <w:color w:val="auto"/>
          <w:sz w:val="21"/>
          <w:highlight w:val="none"/>
        </w:rPr>
        <w:t>9.2.3　下列行为均属投标人串通投标报价：</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（1）投标人之间相互约定抬高或压低投标报价 </w:t>
      </w:r>
    </w:p>
    <w:p>
      <w:pPr>
        <w:pStyle w:val="120"/>
        <w:spacing w:line="360" w:lineRule="auto"/>
        <w:rPr>
          <w:rFonts w:eastAsia="宋体" w:cs="宋体"/>
          <w:color w:val="auto"/>
          <w:sz w:val="21"/>
          <w:highlight w:val="none"/>
        </w:rPr>
      </w:pPr>
      <w:r>
        <w:rPr>
          <w:rFonts w:hint="eastAsia" w:eastAsia="宋体" w:cs="宋体"/>
          <w:color w:val="auto"/>
          <w:sz w:val="21"/>
          <w:highlight w:val="none"/>
        </w:rPr>
        <w:t>（2）投标人之间相互约定，在招标项目中分别以高、中、低价位报价；</w:t>
      </w:r>
    </w:p>
    <w:p>
      <w:pPr>
        <w:pStyle w:val="120"/>
        <w:spacing w:line="360" w:lineRule="auto"/>
        <w:rPr>
          <w:rFonts w:eastAsia="宋体" w:cs="宋体"/>
          <w:color w:val="auto"/>
          <w:sz w:val="21"/>
          <w:highlight w:val="none"/>
        </w:rPr>
      </w:pPr>
      <w:r>
        <w:rPr>
          <w:rFonts w:hint="eastAsia" w:eastAsia="宋体" w:cs="宋体"/>
          <w:color w:val="auto"/>
          <w:sz w:val="21"/>
          <w:highlight w:val="none"/>
        </w:rPr>
        <w:t xml:space="preserve">（3）投标人之间先进行内部竞价，内定中标人，然后再参加投标； </w:t>
      </w:r>
    </w:p>
    <w:p>
      <w:pPr>
        <w:pStyle w:val="120"/>
        <w:spacing w:line="360" w:lineRule="auto"/>
        <w:rPr>
          <w:rFonts w:eastAsia="宋体" w:cs="宋体"/>
          <w:color w:val="auto"/>
          <w:sz w:val="21"/>
          <w:highlight w:val="none"/>
        </w:rPr>
      </w:pPr>
      <w:r>
        <w:rPr>
          <w:rFonts w:hint="eastAsia" w:eastAsia="宋体" w:cs="宋体"/>
          <w:color w:val="auto"/>
          <w:sz w:val="21"/>
          <w:highlight w:val="none"/>
        </w:rPr>
        <w:t>（4）投标人之间其它串通投标报价的行为。</w:t>
      </w:r>
    </w:p>
    <w:p>
      <w:pPr>
        <w:pStyle w:val="119"/>
        <w:spacing w:line="360" w:lineRule="auto"/>
        <w:rPr>
          <w:rFonts w:eastAsia="宋体" w:cs="宋体"/>
          <w:color w:val="auto"/>
          <w:sz w:val="21"/>
          <w:highlight w:val="none"/>
        </w:rPr>
      </w:pPr>
      <w:bookmarkStart w:id="181" w:name="_Toc11329_WPSOffice_Level3"/>
      <w:bookmarkStart w:id="182" w:name="_Toc25036_WPSOffice_Level3"/>
      <w:r>
        <w:rPr>
          <w:rFonts w:hint="eastAsia" w:eastAsia="宋体" w:cs="宋体"/>
          <w:color w:val="auto"/>
          <w:sz w:val="21"/>
          <w:highlight w:val="none"/>
        </w:rPr>
        <w:t>9.3　对评标委员会成员的纪律要求</w:t>
      </w:r>
      <w:bookmarkEnd w:id="181"/>
      <w:bookmarkEnd w:id="182"/>
    </w:p>
    <w:p>
      <w:pPr>
        <w:pStyle w:val="120"/>
        <w:spacing w:line="360" w:lineRule="auto"/>
        <w:rPr>
          <w:rFonts w:eastAsia="宋体" w:cs="宋体"/>
          <w:color w:val="auto"/>
          <w:sz w:val="21"/>
          <w:highlight w:val="none"/>
        </w:rPr>
      </w:pPr>
      <w:r>
        <w:rPr>
          <w:rFonts w:hint="eastAsia" w:eastAsia="宋体" w:cs="宋体"/>
          <w:color w:val="auto"/>
          <w:sz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3章“评标办法”没有规定的评审因素和标准进行评标。</w:t>
      </w:r>
    </w:p>
    <w:p>
      <w:pPr>
        <w:pStyle w:val="119"/>
        <w:spacing w:line="360" w:lineRule="auto"/>
        <w:rPr>
          <w:rFonts w:eastAsia="宋体" w:cs="宋体"/>
          <w:color w:val="auto"/>
          <w:sz w:val="21"/>
          <w:highlight w:val="none"/>
        </w:rPr>
      </w:pPr>
      <w:bookmarkStart w:id="183" w:name="_Toc11029_WPSOffice_Level3"/>
      <w:bookmarkStart w:id="184" w:name="_Toc27430_WPSOffice_Level3"/>
      <w:r>
        <w:rPr>
          <w:rFonts w:hint="eastAsia" w:eastAsia="宋体" w:cs="宋体"/>
          <w:color w:val="auto"/>
          <w:sz w:val="21"/>
          <w:highlight w:val="none"/>
        </w:rPr>
        <w:t>9.4　对与评标活动有关的工作人员的纪律要求</w:t>
      </w:r>
      <w:bookmarkEnd w:id="183"/>
      <w:bookmarkEnd w:id="184"/>
    </w:p>
    <w:p>
      <w:pPr>
        <w:pStyle w:val="120"/>
        <w:spacing w:line="360" w:lineRule="auto"/>
        <w:rPr>
          <w:rFonts w:eastAsia="宋体" w:cs="宋体"/>
          <w:color w:val="auto"/>
          <w:sz w:val="21"/>
          <w:highlight w:val="none"/>
        </w:rPr>
      </w:pPr>
      <w:r>
        <w:rPr>
          <w:rFonts w:hint="eastAsia" w:eastAsia="宋体" w:cs="宋体"/>
          <w:color w:val="auto"/>
          <w:sz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119"/>
        <w:spacing w:line="360" w:lineRule="auto"/>
        <w:rPr>
          <w:rFonts w:eastAsia="宋体" w:cs="宋体"/>
          <w:color w:val="auto"/>
          <w:sz w:val="21"/>
          <w:highlight w:val="none"/>
        </w:rPr>
      </w:pPr>
      <w:bookmarkStart w:id="185" w:name="_Toc29457_WPSOffice_Level3"/>
      <w:bookmarkStart w:id="186" w:name="_Toc9354_WPSOffice_Level3"/>
      <w:r>
        <w:rPr>
          <w:rFonts w:hint="eastAsia" w:eastAsia="宋体" w:cs="宋体"/>
          <w:color w:val="auto"/>
          <w:sz w:val="21"/>
          <w:highlight w:val="none"/>
        </w:rPr>
        <w:t>9.5　投诉</w:t>
      </w:r>
      <w:bookmarkEnd w:id="185"/>
      <w:bookmarkEnd w:id="186"/>
    </w:p>
    <w:p>
      <w:pPr>
        <w:pStyle w:val="120"/>
        <w:spacing w:line="360" w:lineRule="auto"/>
        <w:rPr>
          <w:rFonts w:eastAsia="宋体" w:cs="宋体"/>
          <w:color w:val="auto"/>
          <w:szCs w:val="24"/>
          <w:highlight w:val="none"/>
        </w:rPr>
      </w:pPr>
      <w:r>
        <w:rPr>
          <w:rFonts w:hint="eastAsia" w:eastAsia="宋体" w:cs="宋体"/>
          <w:color w:val="auto"/>
          <w:sz w:val="21"/>
          <w:highlight w:val="none"/>
        </w:rPr>
        <w:t>投标人和其他利害关系人认为本次招标活动违反法律、法规和规章规定的，有权向有关行政监督部门投诉。</w:t>
      </w:r>
    </w:p>
    <w:p>
      <w:pPr>
        <w:pStyle w:val="151"/>
        <w:spacing w:beforeLines="0" w:afterLines="0"/>
        <w:outlineLvl w:val="0"/>
        <w:rPr>
          <w:rFonts w:ascii="宋体" w:hAnsi="宋体" w:eastAsia="宋体" w:cs="宋体"/>
          <w:color w:val="auto"/>
          <w:highlight w:val="none"/>
        </w:rPr>
      </w:pPr>
      <w:bookmarkStart w:id="187" w:name="_Toc17853_WPSOffice_Level2"/>
      <w:r>
        <w:rPr>
          <w:rFonts w:hint="eastAsia" w:ascii="宋体" w:hAnsi="宋体" w:eastAsia="宋体" w:cs="宋体"/>
          <w:color w:val="auto"/>
          <w:highlight w:val="none"/>
        </w:rPr>
        <w:t>10　需要补充的其它内容</w:t>
      </w:r>
      <w:bookmarkEnd w:id="187"/>
    </w:p>
    <w:p>
      <w:pPr>
        <w:pStyle w:val="120"/>
        <w:spacing w:line="360" w:lineRule="auto"/>
        <w:rPr>
          <w:rFonts w:hint="eastAsia" w:eastAsia="宋体" w:cs="宋体"/>
          <w:color w:val="auto"/>
          <w:sz w:val="21"/>
          <w:highlight w:val="none"/>
        </w:rPr>
      </w:pPr>
      <w:r>
        <w:rPr>
          <w:rFonts w:hint="eastAsia" w:eastAsia="宋体" w:cs="宋体"/>
          <w:color w:val="auto"/>
          <w:sz w:val="21"/>
          <w:highlight w:val="none"/>
        </w:rPr>
        <w:t>见投标人须知前附表。</w:t>
      </w:r>
    </w:p>
    <w:p>
      <w:pPr>
        <w:rPr>
          <w:rFonts w:hint="eastAsia" w:eastAsia="宋体" w:cs="宋体"/>
          <w:color w:val="auto"/>
          <w:sz w:val="21"/>
          <w:highlight w:val="none"/>
        </w:rPr>
      </w:pPr>
      <w:r>
        <w:rPr>
          <w:rFonts w:hint="eastAsia" w:eastAsia="宋体" w:cs="宋体"/>
          <w:color w:val="auto"/>
          <w:sz w:val="21"/>
          <w:highlight w:val="none"/>
        </w:rPr>
        <w:br w:type="page"/>
      </w:r>
    </w:p>
    <w:p>
      <w:pPr>
        <w:pStyle w:val="120"/>
        <w:spacing w:line="360" w:lineRule="auto"/>
        <w:rPr>
          <w:rFonts w:hint="eastAsia" w:eastAsia="宋体" w:cs="宋体"/>
          <w:color w:val="auto"/>
          <w:sz w:val="21"/>
          <w:highlight w:val="none"/>
        </w:rPr>
        <w:sectPr>
          <w:headerReference r:id="rId12" w:type="default"/>
          <w:footerReference r:id="rId13" w:type="default"/>
          <w:footerReference r:id="rId14" w:type="even"/>
          <w:pgSz w:w="11906" w:h="16838"/>
          <w:pgMar w:top="1418" w:right="1361" w:bottom="1418" w:left="1418" w:header="851" w:footer="992" w:gutter="0"/>
          <w:cols w:space="720" w:num="1"/>
          <w:docGrid w:linePitch="312" w:charSpace="0"/>
        </w:sectPr>
      </w:pPr>
    </w:p>
    <w:p>
      <w:pPr>
        <w:autoSpaceDE w:val="0"/>
        <w:autoSpaceDN w:val="0"/>
        <w:adjustRightInd w:val="0"/>
        <w:snapToGrid w:val="0"/>
        <w:spacing w:before="62" w:beforeLines="20" w:line="360" w:lineRule="auto"/>
        <w:rPr>
          <w:rFonts w:hint="eastAsia" w:ascii="宋体" w:hAnsi="宋体" w:eastAsia="宋体" w:cs="宋体"/>
          <w:snapToGrid w:val="0"/>
          <w:kern w:val="0"/>
          <w:sz w:val="21"/>
          <w:szCs w:val="21"/>
        </w:rPr>
      </w:pPr>
      <w:r>
        <w:rPr>
          <w:rFonts w:hint="eastAsia" w:ascii="宋体" w:hAnsi="宋体" w:eastAsia="宋体" w:cs="宋体"/>
          <w:b/>
          <w:snapToGrid w:val="0"/>
          <w:kern w:val="0"/>
          <w:sz w:val="21"/>
          <w:szCs w:val="21"/>
        </w:rPr>
        <w:t>附表</w:t>
      </w:r>
      <w:r>
        <w:rPr>
          <w:rFonts w:hint="eastAsia" w:ascii="宋体" w:hAnsi="宋体" w:eastAsia="宋体" w:cs="宋体"/>
          <w:b/>
          <w:snapToGrid w:val="0"/>
          <w:kern w:val="0"/>
          <w:sz w:val="21"/>
          <w:szCs w:val="21"/>
          <w:lang w:val="en-US" w:eastAsia="zh-CN"/>
        </w:rPr>
        <w:t>一</w:t>
      </w:r>
      <w:r>
        <w:rPr>
          <w:rFonts w:hint="eastAsia" w:ascii="宋体" w:hAnsi="宋体" w:eastAsia="宋体" w:cs="宋体"/>
          <w:b/>
          <w:snapToGrid w:val="0"/>
          <w:kern w:val="0"/>
          <w:sz w:val="21"/>
          <w:szCs w:val="21"/>
        </w:rPr>
        <w:t>：纸质投标保函递交情况一览表（如有）</w:t>
      </w:r>
    </w:p>
    <w:p>
      <w:pPr>
        <w:autoSpaceDE w:val="0"/>
        <w:autoSpaceDN w:val="0"/>
        <w:adjustRightInd w:val="0"/>
        <w:snapToGrid w:val="0"/>
        <w:spacing w:before="62" w:beforeLines="20" w:line="360" w:lineRule="auto"/>
        <w:jc w:val="center"/>
        <w:rPr>
          <w:rFonts w:hint="eastAsia" w:ascii="宋体" w:hAnsi="宋体" w:eastAsia="宋体" w:cs="宋体"/>
          <w:sz w:val="21"/>
          <w:szCs w:val="21"/>
        </w:rPr>
      </w:pPr>
      <w:r>
        <w:rPr>
          <w:rFonts w:hint="eastAsia" w:ascii="宋体" w:hAnsi="宋体" w:eastAsia="宋体" w:cs="宋体"/>
          <w:snapToGrid w:val="0"/>
          <w:w w:val="198"/>
          <w:kern w:val="0"/>
          <w:sz w:val="21"/>
          <w:szCs w:val="21"/>
          <w:u w:val="single"/>
        </w:rPr>
        <w:t xml:space="preserve">              </w:t>
      </w:r>
      <w:r>
        <w:rPr>
          <w:rFonts w:hint="eastAsia" w:ascii="宋体" w:hAnsi="宋体" w:eastAsia="宋体" w:cs="宋体"/>
          <w:snapToGrid w:val="0"/>
          <w:kern w:val="0"/>
          <w:sz w:val="21"/>
          <w:szCs w:val="21"/>
          <w:u w:val="single"/>
        </w:rPr>
        <w:t xml:space="preserve"> </w:t>
      </w:r>
      <w:r>
        <w:rPr>
          <w:rFonts w:hint="eastAsia" w:ascii="宋体" w:hAnsi="宋体" w:eastAsia="宋体" w:cs="宋体"/>
          <w:b/>
          <w:snapToGrid w:val="0"/>
          <w:w w:val="99"/>
          <w:kern w:val="0"/>
          <w:sz w:val="21"/>
          <w:szCs w:val="21"/>
          <w:u w:val="single"/>
        </w:rPr>
        <w:t>（项目名称）纸质投标保函递交情况一览表</w:t>
      </w:r>
    </w:p>
    <w:p>
      <w:pPr>
        <w:autoSpaceDE w:val="0"/>
        <w:autoSpaceDN w:val="0"/>
        <w:adjustRightInd w:val="0"/>
        <w:snapToGrid w:val="0"/>
        <w:spacing w:before="62" w:beforeLines="20" w:line="360" w:lineRule="auto"/>
        <w:ind w:firstLine="8610" w:firstLineChars="4100"/>
        <w:rPr>
          <w:rFonts w:hint="eastAsia" w:ascii="宋体" w:hAnsi="宋体" w:eastAsia="宋体" w:cs="宋体"/>
          <w:sz w:val="21"/>
          <w:szCs w:val="21"/>
        </w:rPr>
      </w:pPr>
      <w:r>
        <w:rPr>
          <w:rFonts w:hint="eastAsia" w:ascii="宋体" w:hAnsi="宋体" w:eastAsia="宋体" w:cs="宋体"/>
          <w:snapToGrid w:val="0"/>
          <w:kern w:val="0"/>
          <w:sz w:val="21"/>
          <w:szCs w:val="21"/>
        </w:rPr>
        <w:t>投标截止时间：</w:t>
      </w:r>
      <w:r>
        <w:rPr>
          <w:rFonts w:hint="eastAsia" w:ascii="宋体" w:hAnsi="宋体" w:eastAsia="宋体" w:cs="宋体"/>
          <w:snapToGrid w:val="0"/>
          <w:w w:val="200"/>
          <w:kern w:val="0"/>
          <w:sz w:val="21"/>
          <w:szCs w:val="21"/>
          <w:u w:val="single"/>
        </w:rPr>
        <w:t xml:space="preserve">     </w:t>
      </w:r>
      <w:r>
        <w:rPr>
          <w:rFonts w:hint="eastAsia" w:ascii="宋体" w:hAnsi="宋体" w:eastAsia="宋体" w:cs="宋体"/>
          <w:snapToGrid w:val="0"/>
          <w:kern w:val="0"/>
          <w:sz w:val="21"/>
          <w:szCs w:val="21"/>
        </w:rPr>
        <w:t>年</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月</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日</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时</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分</w:t>
      </w:r>
    </w:p>
    <w:tbl>
      <w:tblPr>
        <w:tblStyle w:val="47"/>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4160" w:type="dxa"/>
          </w:tcPr>
          <w:p>
            <w:pPr>
              <w:autoSpaceDE w:val="0"/>
              <w:autoSpaceDN w:val="0"/>
              <w:adjustRightInd w:val="0"/>
              <w:snapToGrid w:val="0"/>
              <w:spacing w:before="62" w:beforeLines="20" w:line="360" w:lineRule="auto"/>
              <w:jc w:val="center"/>
              <w:rPr>
                <w:rFonts w:hint="eastAsia" w:ascii="宋体" w:hAnsi="宋体" w:eastAsia="宋体" w:cs="宋体"/>
                <w:sz w:val="21"/>
                <w:szCs w:val="21"/>
              </w:rPr>
            </w:pPr>
            <w:r>
              <w:rPr>
                <w:rFonts w:hint="eastAsia" w:ascii="宋体" w:hAnsi="宋体" w:eastAsia="宋体" w:cs="宋体"/>
                <w:sz w:val="21"/>
                <w:szCs w:val="21"/>
              </w:rPr>
              <w:t>投标人</w:t>
            </w:r>
          </w:p>
        </w:tc>
        <w:tc>
          <w:tcPr>
            <w:tcW w:w="3088" w:type="dxa"/>
          </w:tcPr>
          <w:p>
            <w:pPr>
              <w:autoSpaceDE w:val="0"/>
              <w:autoSpaceDN w:val="0"/>
              <w:adjustRightInd w:val="0"/>
              <w:snapToGrid w:val="0"/>
              <w:spacing w:before="62" w:beforeLines="20" w:line="360" w:lineRule="auto"/>
              <w:jc w:val="center"/>
              <w:rPr>
                <w:rFonts w:hint="eastAsia" w:ascii="宋体" w:hAnsi="宋体" w:eastAsia="宋体" w:cs="宋体"/>
                <w:sz w:val="21"/>
                <w:szCs w:val="21"/>
              </w:rPr>
            </w:pPr>
            <w:r>
              <w:rPr>
                <w:rFonts w:hint="eastAsia" w:ascii="宋体" w:hAnsi="宋体" w:eastAsia="宋体" w:cs="宋体"/>
                <w:sz w:val="21"/>
                <w:szCs w:val="21"/>
              </w:rPr>
              <w:t>金额（元）</w:t>
            </w:r>
          </w:p>
        </w:tc>
        <w:tc>
          <w:tcPr>
            <w:tcW w:w="2987" w:type="dxa"/>
          </w:tcPr>
          <w:p>
            <w:pPr>
              <w:autoSpaceDE w:val="0"/>
              <w:autoSpaceDN w:val="0"/>
              <w:adjustRightInd w:val="0"/>
              <w:snapToGrid w:val="0"/>
              <w:spacing w:before="62" w:beforeLines="20" w:line="360" w:lineRule="auto"/>
              <w:jc w:val="center"/>
              <w:rPr>
                <w:rFonts w:hint="eastAsia" w:ascii="宋体" w:hAnsi="宋体" w:eastAsia="宋体" w:cs="宋体"/>
                <w:sz w:val="21"/>
                <w:szCs w:val="21"/>
              </w:rPr>
            </w:pPr>
            <w:r>
              <w:rPr>
                <w:rFonts w:hint="eastAsia" w:ascii="宋体" w:hAnsi="宋体" w:eastAsia="宋体" w:cs="宋体"/>
                <w:sz w:val="21"/>
                <w:szCs w:val="21"/>
              </w:rPr>
              <w:t>递交时间</w:t>
            </w:r>
          </w:p>
        </w:tc>
        <w:tc>
          <w:tcPr>
            <w:tcW w:w="3175" w:type="dxa"/>
          </w:tcPr>
          <w:p>
            <w:pPr>
              <w:autoSpaceDE w:val="0"/>
              <w:autoSpaceDN w:val="0"/>
              <w:adjustRightInd w:val="0"/>
              <w:snapToGrid w:val="0"/>
              <w:spacing w:before="62" w:beforeLines="20"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4160"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088"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2987"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175"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4160"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088"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2987"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175"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4160"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088"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2987"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175"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4160"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088"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2987"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175"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4160"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088"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2987"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175"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4160"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088"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2987"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175"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4160"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088"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2987"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175"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4160"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088"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2987"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175"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4160"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088"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2987"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175"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4160"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088"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2987"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175"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4160"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088"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2987"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c>
          <w:tcPr>
            <w:tcW w:w="3175" w:type="dxa"/>
          </w:tcPr>
          <w:p>
            <w:pPr>
              <w:autoSpaceDE w:val="0"/>
              <w:autoSpaceDN w:val="0"/>
              <w:adjustRightInd w:val="0"/>
              <w:snapToGrid w:val="0"/>
              <w:spacing w:before="62" w:beforeLines="20" w:line="360" w:lineRule="auto"/>
              <w:jc w:val="both"/>
              <w:rPr>
                <w:rFonts w:hint="eastAsia" w:ascii="宋体" w:hAnsi="宋体" w:eastAsia="宋体" w:cs="宋体"/>
                <w:sz w:val="21"/>
                <w:szCs w:val="21"/>
              </w:rPr>
            </w:pPr>
          </w:p>
        </w:tc>
      </w:tr>
    </w:tbl>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kern w:val="0"/>
          <w:sz w:val="21"/>
          <w:szCs w:val="21"/>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w w:val="200"/>
          <w:kern w:val="0"/>
          <w:sz w:val="21"/>
          <w:szCs w:val="21"/>
          <w:u w:val="single"/>
        </w:rPr>
      </w:pPr>
      <w:r>
        <w:rPr>
          <w:rFonts w:hint="eastAsia" w:ascii="宋体" w:hAnsi="宋体" w:eastAsia="宋体" w:cs="宋体"/>
          <w:snapToGrid w:val="0"/>
          <w:kern w:val="0"/>
          <w:sz w:val="21"/>
          <w:szCs w:val="21"/>
        </w:rPr>
        <w:t>招标人代表：</w:t>
      </w:r>
      <w:r>
        <w:rPr>
          <w:rFonts w:hint="eastAsia" w:ascii="宋体" w:hAnsi="宋体" w:eastAsia="宋体" w:cs="宋体"/>
          <w:snapToGrid w:val="0"/>
          <w:w w:val="200"/>
          <w:kern w:val="0"/>
          <w:sz w:val="21"/>
          <w:szCs w:val="21"/>
          <w:u w:val="single"/>
        </w:rPr>
        <w:t xml:space="preserve">      </w:t>
      </w:r>
      <w:r>
        <w:rPr>
          <w:rFonts w:hint="eastAsia" w:ascii="宋体" w:hAnsi="宋体" w:eastAsia="宋体" w:cs="宋体"/>
          <w:snapToGrid w:val="0"/>
          <w:w w:val="200"/>
          <w:kern w:val="0"/>
          <w:sz w:val="21"/>
          <w:szCs w:val="21"/>
        </w:rPr>
        <w:t xml:space="preserve">            </w:t>
      </w:r>
      <w:r>
        <w:rPr>
          <w:rFonts w:hint="eastAsia" w:ascii="宋体" w:hAnsi="宋体" w:eastAsia="宋体" w:cs="宋体"/>
          <w:snapToGrid w:val="0"/>
          <w:kern w:val="0"/>
          <w:sz w:val="21"/>
          <w:szCs w:val="21"/>
        </w:rPr>
        <w:t>监标人：</w:t>
      </w:r>
      <w:r>
        <w:rPr>
          <w:rFonts w:hint="eastAsia" w:ascii="宋体" w:hAnsi="宋体" w:eastAsia="宋体" w:cs="宋体"/>
          <w:snapToGrid w:val="0"/>
          <w:w w:val="200"/>
          <w:kern w:val="0"/>
          <w:sz w:val="21"/>
          <w:szCs w:val="21"/>
          <w:u w:val="single"/>
        </w:rPr>
        <w:t xml:space="preserve">      </w:t>
      </w:r>
      <w:r>
        <w:rPr>
          <w:rFonts w:hint="eastAsia" w:ascii="宋体" w:hAnsi="宋体" w:eastAsia="宋体" w:cs="宋体"/>
          <w:snapToGrid w:val="0"/>
          <w:w w:val="200"/>
          <w:kern w:val="0"/>
          <w:sz w:val="21"/>
          <w:szCs w:val="21"/>
        </w:rPr>
        <w:t xml:space="preserve">            </w:t>
      </w:r>
      <w:r>
        <w:rPr>
          <w:rFonts w:hint="eastAsia" w:ascii="宋体" w:hAnsi="宋体" w:eastAsia="宋体" w:cs="宋体"/>
          <w:snapToGrid w:val="0"/>
          <w:kern w:val="0"/>
          <w:sz w:val="21"/>
          <w:szCs w:val="21"/>
        </w:rPr>
        <w:t>记录人：</w:t>
      </w:r>
      <w:r>
        <w:rPr>
          <w:rFonts w:hint="eastAsia" w:ascii="宋体" w:hAnsi="宋体" w:eastAsia="宋体" w:cs="宋体"/>
          <w:snapToGrid w:val="0"/>
          <w:w w:val="200"/>
          <w:kern w:val="0"/>
          <w:sz w:val="21"/>
          <w:szCs w:val="21"/>
          <w:u w:val="single"/>
        </w:rPr>
        <w:t xml:space="preserve">      </w:t>
      </w:r>
    </w:p>
    <w:p>
      <w:pPr>
        <w:pStyle w:val="120"/>
        <w:spacing w:line="360" w:lineRule="auto"/>
        <w:jc w:val="right"/>
        <w:rPr>
          <w:rFonts w:hint="eastAsia" w:ascii="宋体" w:hAnsi="宋体" w:eastAsia="宋体" w:cs="宋体"/>
          <w:color w:val="auto"/>
          <w:sz w:val="21"/>
          <w:szCs w:val="21"/>
          <w:highlight w:val="none"/>
        </w:rPr>
        <w:sectPr>
          <w:pgSz w:w="16838" w:h="11906" w:orient="landscape"/>
          <w:pgMar w:top="1418" w:right="1418" w:bottom="1361" w:left="1418" w:header="851" w:footer="992" w:gutter="0"/>
          <w:cols w:space="720" w:num="1"/>
          <w:docGrid w:linePitch="312" w:charSpace="0"/>
        </w:sectPr>
      </w:pP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年</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月</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日</w:t>
      </w:r>
    </w:p>
    <w:p>
      <w:pPr>
        <w:autoSpaceDE w:val="0"/>
        <w:autoSpaceDN w:val="0"/>
        <w:adjustRightInd w:val="0"/>
        <w:snapToGrid w:val="0"/>
        <w:spacing w:line="360" w:lineRule="auto"/>
        <w:jc w:val="left"/>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附表三：问题澄清通知</w:t>
      </w:r>
    </w:p>
    <w:p>
      <w:pPr>
        <w:autoSpaceDE w:val="0"/>
        <w:autoSpaceDN w:val="0"/>
        <w:adjustRightInd w:val="0"/>
        <w:snapToGrid w:val="0"/>
        <w:spacing w:line="360" w:lineRule="auto"/>
        <w:jc w:val="left"/>
        <w:rPr>
          <w:rFonts w:hint="eastAsia" w:ascii="宋体" w:hAnsi="宋体" w:eastAsia="宋体" w:cs="宋体"/>
          <w:b/>
          <w:snapToGrid w:val="0"/>
          <w:kern w:val="0"/>
          <w:sz w:val="21"/>
          <w:szCs w:val="21"/>
        </w:rPr>
      </w:pPr>
    </w:p>
    <w:p>
      <w:pPr>
        <w:autoSpaceDE w:val="0"/>
        <w:autoSpaceDN w:val="0"/>
        <w:adjustRightInd w:val="0"/>
        <w:snapToGrid w:val="0"/>
        <w:spacing w:line="360" w:lineRule="auto"/>
        <w:jc w:val="center"/>
        <w:rPr>
          <w:rFonts w:hint="eastAsia" w:ascii="宋体" w:hAnsi="宋体" w:eastAsia="宋体" w:cs="宋体"/>
          <w:b/>
          <w:snapToGrid w:val="0"/>
          <w:w w:val="99"/>
          <w:kern w:val="0"/>
          <w:sz w:val="21"/>
          <w:szCs w:val="21"/>
        </w:rPr>
      </w:pPr>
      <w:r>
        <w:rPr>
          <w:rFonts w:hint="eastAsia" w:ascii="宋体" w:hAnsi="宋体" w:eastAsia="宋体" w:cs="宋体"/>
          <w:b/>
          <w:snapToGrid w:val="0"/>
          <w:w w:val="99"/>
          <w:kern w:val="0"/>
          <w:sz w:val="21"/>
          <w:szCs w:val="21"/>
        </w:rPr>
        <w:t>问题澄清通知</w:t>
      </w:r>
    </w:p>
    <w:p>
      <w:pPr>
        <w:autoSpaceDE w:val="0"/>
        <w:autoSpaceDN w:val="0"/>
        <w:adjustRightInd w:val="0"/>
        <w:snapToGrid w:val="0"/>
        <w:spacing w:line="360" w:lineRule="auto"/>
        <w:jc w:val="left"/>
        <w:rPr>
          <w:rFonts w:hint="eastAsia" w:ascii="宋体" w:hAnsi="宋体" w:eastAsia="宋体" w:cs="宋体"/>
          <w:b/>
          <w:snapToGrid w:val="0"/>
          <w:kern w:val="0"/>
          <w:sz w:val="21"/>
          <w:szCs w:val="21"/>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kern w:val="0"/>
          <w:sz w:val="21"/>
          <w:szCs w:val="21"/>
          <w:u w:val="single"/>
        </w:rPr>
      </w:pPr>
      <w:r>
        <w:rPr>
          <w:rFonts w:hint="eastAsia" w:ascii="宋体" w:hAnsi="宋体" w:eastAsia="宋体" w:cs="宋体"/>
          <w:snapToGrid w:val="0"/>
          <w:kern w:val="0"/>
          <w:sz w:val="21"/>
          <w:szCs w:val="21"/>
        </w:rPr>
        <w:t>编号：</w:t>
      </w:r>
      <w:r>
        <w:rPr>
          <w:rFonts w:hint="eastAsia" w:ascii="宋体" w:hAnsi="宋体" w:eastAsia="宋体" w:cs="宋体"/>
          <w:snapToGrid w:val="0"/>
          <w:kern w:val="0"/>
          <w:sz w:val="21"/>
          <w:szCs w:val="21"/>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kern w:val="0"/>
          <w:sz w:val="21"/>
          <w:szCs w:val="21"/>
        </w:rPr>
      </w:pPr>
    </w:p>
    <w:p>
      <w:pPr>
        <w:autoSpaceDE w:val="0"/>
        <w:autoSpaceDN w:val="0"/>
        <w:adjustRightInd w:val="0"/>
        <w:snapToGrid w:val="0"/>
        <w:spacing w:line="360" w:lineRule="auto"/>
        <w:rPr>
          <w:rFonts w:hint="eastAsia" w:ascii="宋体" w:hAnsi="宋体" w:eastAsia="宋体" w:cs="宋体"/>
          <w:snapToGrid w:val="0"/>
          <w:kern w:val="0"/>
          <w:sz w:val="21"/>
          <w:szCs w:val="21"/>
        </w:rPr>
      </w:pPr>
    </w:p>
    <w:p>
      <w:pPr>
        <w:tabs>
          <w:tab w:val="left" w:pos="1580"/>
        </w:tabs>
        <w:autoSpaceDE w:val="0"/>
        <w:autoSpaceDN w:val="0"/>
        <w:adjustRightInd w:val="0"/>
        <w:snapToGrid w:val="0"/>
        <w:spacing w:line="480" w:lineRule="auto"/>
        <w:jc w:val="left"/>
        <w:rPr>
          <w:rFonts w:hint="eastAsia" w:ascii="宋体" w:hAnsi="宋体" w:eastAsia="宋体" w:cs="宋体"/>
          <w:snapToGrid w:val="0"/>
          <w:kern w:val="0"/>
          <w:sz w:val="21"/>
          <w:szCs w:val="21"/>
        </w:rPr>
      </w:pPr>
      <w:r>
        <w:rPr>
          <w:rFonts w:hint="eastAsia" w:ascii="宋体" w:hAnsi="宋体" w:eastAsia="宋体" w:cs="宋体"/>
          <w:snapToGrid w:val="0"/>
          <w:w w:val="200"/>
          <w:kern w:val="0"/>
          <w:sz w:val="21"/>
          <w:szCs w:val="21"/>
          <w:u w:val="single"/>
        </w:rPr>
        <w:t xml:space="preserve"> </w:t>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rPr>
        <w:t>（投标人名称）：</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kern w:val="0"/>
          <w:sz w:val="21"/>
          <w:szCs w:val="21"/>
        </w:rPr>
      </w:pPr>
      <w:r>
        <w:rPr>
          <w:rFonts w:hint="eastAsia" w:ascii="宋体" w:hAnsi="宋体" w:eastAsia="宋体" w:cs="宋体"/>
          <w:snapToGrid w:val="0"/>
          <w:w w:val="200"/>
          <w:kern w:val="0"/>
          <w:sz w:val="21"/>
          <w:szCs w:val="21"/>
          <w:u w:val="single"/>
        </w:rPr>
        <w:t xml:space="preserve"> </w:t>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u w:val="single"/>
        </w:rPr>
        <w:t>（项目名称）</w:t>
      </w:r>
      <w:r>
        <w:rPr>
          <w:rFonts w:hint="eastAsia" w:ascii="宋体" w:hAnsi="宋体" w:eastAsia="宋体" w:cs="宋体"/>
          <w:snapToGrid w:val="0"/>
          <w:kern w:val="0"/>
          <w:sz w:val="21"/>
          <w:szCs w:val="21"/>
        </w:rPr>
        <w:t>的评标委员会，对你方的投标文件进行了仔细的审查，现需你方对下列问题以书面形式予以澄清：</w:t>
      </w: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1. </w:t>
      </w: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2. </w:t>
      </w: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w:t>
      </w: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请将上述问题的澄清于</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年</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月</w:t>
      </w:r>
      <w:r>
        <w:rPr>
          <w:rFonts w:hint="eastAsia" w:ascii="宋体" w:hAnsi="宋体" w:eastAsia="宋体" w:cs="宋体"/>
          <w:snapToGrid w:val="0"/>
          <w:w w:val="200"/>
          <w:kern w:val="0"/>
          <w:sz w:val="21"/>
          <w:szCs w:val="21"/>
          <w:u w:val="single"/>
        </w:rPr>
        <w:t xml:space="preserve"> </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日</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时前递交至</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（详细地址）或传真至</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（传真号码）。采用传真方式的，应在</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年</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月</w:t>
      </w:r>
      <w:r>
        <w:rPr>
          <w:rFonts w:hint="eastAsia" w:ascii="宋体" w:hAnsi="宋体" w:eastAsia="宋体" w:cs="宋体"/>
          <w:snapToGrid w:val="0"/>
          <w:w w:val="200"/>
          <w:kern w:val="0"/>
          <w:sz w:val="21"/>
          <w:szCs w:val="21"/>
          <w:u w:val="single"/>
        </w:rPr>
        <w:t xml:space="preserve"> </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日</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时前将原件递交至</w:t>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rPr>
        <w:t>（详细地址）。</w:t>
      </w: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tabs>
          <w:tab w:val="left" w:pos="6400"/>
        </w:tabs>
        <w:autoSpaceDE w:val="0"/>
        <w:autoSpaceDN w:val="0"/>
        <w:adjustRightInd w:val="0"/>
        <w:snapToGrid w:val="0"/>
        <w:spacing w:line="360" w:lineRule="auto"/>
        <w:jc w:val="righ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                             评标委员会：</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 xml:space="preserve">（签名） </w:t>
      </w:r>
    </w:p>
    <w:p>
      <w:pPr>
        <w:autoSpaceDE w:val="0"/>
        <w:autoSpaceDN w:val="0"/>
        <w:adjustRightInd w:val="0"/>
        <w:snapToGrid w:val="0"/>
        <w:spacing w:line="360" w:lineRule="auto"/>
        <w:ind w:firstLine="315" w:firstLineChars="150"/>
        <w:jc w:val="righ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                            </w:t>
      </w: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                             </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年</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月</w:t>
      </w:r>
      <w:r>
        <w:rPr>
          <w:rFonts w:hint="eastAsia" w:ascii="宋体" w:hAnsi="宋体" w:eastAsia="宋体" w:cs="宋体"/>
          <w:snapToGrid w:val="0"/>
          <w:w w:val="200"/>
          <w:kern w:val="0"/>
          <w:sz w:val="21"/>
          <w:szCs w:val="21"/>
          <w:u w:val="single"/>
        </w:rPr>
        <w:t xml:space="preserve"> </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 xml:space="preserve">日  </w:t>
      </w:r>
    </w:p>
    <w:p>
      <w:pPr>
        <w:autoSpaceDE w:val="0"/>
        <w:autoSpaceDN w:val="0"/>
        <w:adjustRightInd w:val="0"/>
        <w:snapToGrid w:val="0"/>
        <w:spacing w:line="360" w:lineRule="auto"/>
        <w:jc w:val="left"/>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br w:type="page"/>
      </w:r>
      <w:r>
        <w:rPr>
          <w:rFonts w:hint="eastAsia" w:ascii="宋体" w:hAnsi="宋体" w:eastAsia="宋体" w:cs="宋体"/>
          <w:b/>
          <w:snapToGrid w:val="0"/>
          <w:kern w:val="0"/>
          <w:sz w:val="21"/>
          <w:szCs w:val="21"/>
        </w:rPr>
        <w:t>附表四：问题的澄清</w:t>
      </w:r>
    </w:p>
    <w:p>
      <w:pPr>
        <w:autoSpaceDE w:val="0"/>
        <w:autoSpaceDN w:val="0"/>
        <w:adjustRightInd w:val="0"/>
        <w:snapToGrid w:val="0"/>
        <w:spacing w:line="360" w:lineRule="auto"/>
        <w:jc w:val="left"/>
        <w:rPr>
          <w:rFonts w:hint="eastAsia" w:ascii="宋体" w:hAnsi="宋体" w:eastAsia="宋体" w:cs="宋体"/>
          <w:b/>
          <w:snapToGrid w:val="0"/>
          <w:kern w:val="0"/>
          <w:sz w:val="21"/>
          <w:szCs w:val="21"/>
        </w:rPr>
      </w:pPr>
    </w:p>
    <w:p>
      <w:pPr>
        <w:autoSpaceDE w:val="0"/>
        <w:autoSpaceDN w:val="0"/>
        <w:adjustRightInd w:val="0"/>
        <w:snapToGrid w:val="0"/>
        <w:spacing w:line="360" w:lineRule="auto"/>
        <w:jc w:val="center"/>
        <w:rPr>
          <w:rFonts w:hint="eastAsia" w:ascii="宋体" w:hAnsi="宋体" w:eastAsia="宋体" w:cs="宋体"/>
          <w:b/>
          <w:snapToGrid w:val="0"/>
          <w:kern w:val="0"/>
          <w:sz w:val="21"/>
          <w:szCs w:val="21"/>
        </w:rPr>
      </w:pPr>
      <w:r>
        <w:rPr>
          <w:rFonts w:hint="eastAsia" w:ascii="宋体" w:hAnsi="宋体" w:eastAsia="宋体" w:cs="宋体"/>
          <w:b/>
          <w:snapToGrid w:val="0"/>
          <w:w w:val="99"/>
          <w:kern w:val="0"/>
          <w:sz w:val="21"/>
          <w:szCs w:val="21"/>
        </w:rPr>
        <w:t>问题的澄清</w:t>
      </w:r>
    </w:p>
    <w:p>
      <w:pPr>
        <w:autoSpaceDE w:val="0"/>
        <w:autoSpaceDN w:val="0"/>
        <w:adjustRightInd w:val="0"/>
        <w:snapToGrid w:val="0"/>
        <w:spacing w:line="360" w:lineRule="auto"/>
        <w:ind w:firstLine="3255" w:firstLineChars="1550"/>
        <w:jc w:val="left"/>
        <w:rPr>
          <w:rFonts w:hint="eastAsia" w:ascii="宋体" w:hAnsi="宋体" w:eastAsia="宋体" w:cs="宋体"/>
          <w:snapToGrid w:val="0"/>
          <w:kern w:val="0"/>
          <w:sz w:val="21"/>
          <w:szCs w:val="21"/>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kern w:val="0"/>
          <w:sz w:val="21"/>
          <w:szCs w:val="21"/>
          <w:u w:val="single"/>
        </w:rPr>
      </w:pPr>
      <w:r>
        <w:rPr>
          <w:rFonts w:hint="eastAsia" w:ascii="宋体" w:hAnsi="宋体" w:eastAsia="宋体" w:cs="宋体"/>
          <w:snapToGrid w:val="0"/>
          <w:kern w:val="0"/>
          <w:sz w:val="21"/>
          <w:szCs w:val="21"/>
        </w:rPr>
        <w:t>编号：</w:t>
      </w:r>
      <w:r>
        <w:rPr>
          <w:rFonts w:hint="eastAsia" w:ascii="宋体" w:hAnsi="宋体" w:eastAsia="宋体" w:cs="宋体"/>
          <w:snapToGrid w:val="0"/>
          <w:kern w:val="0"/>
          <w:sz w:val="21"/>
          <w:szCs w:val="21"/>
          <w:u w:val="single"/>
        </w:rPr>
        <w:t xml:space="preserve">                     </w:t>
      </w:r>
    </w:p>
    <w:p>
      <w:pPr>
        <w:autoSpaceDE w:val="0"/>
        <w:autoSpaceDN w:val="0"/>
        <w:adjustRightInd w:val="0"/>
        <w:snapToGrid w:val="0"/>
        <w:spacing w:line="360" w:lineRule="auto"/>
        <w:ind w:firstLine="3150" w:firstLineChars="1500"/>
        <w:rPr>
          <w:rFonts w:hint="eastAsia" w:ascii="宋体" w:hAnsi="宋体" w:eastAsia="宋体" w:cs="宋体"/>
          <w:snapToGrid w:val="0"/>
          <w:kern w:val="0"/>
          <w:sz w:val="21"/>
          <w:szCs w:val="21"/>
        </w:rPr>
      </w:pPr>
    </w:p>
    <w:p>
      <w:pPr>
        <w:autoSpaceDE w:val="0"/>
        <w:autoSpaceDN w:val="0"/>
        <w:adjustRightInd w:val="0"/>
        <w:snapToGrid w:val="0"/>
        <w:spacing w:line="360" w:lineRule="auto"/>
        <w:ind w:firstLine="3150" w:firstLineChars="1500"/>
        <w:rPr>
          <w:rFonts w:hint="eastAsia" w:ascii="宋体" w:hAnsi="宋体" w:eastAsia="宋体" w:cs="宋体"/>
          <w:snapToGrid w:val="0"/>
          <w:kern w:val="0"/>
          <w:sz w:val="21"/>
          <w:szCs w:val="21"/>
        </w:rPr>
      </w:pPr>
    </w:p>
    <w:p>
      <w:pPr>
        <w:tabs>
          <w:tab w:val="left" w:pos="2415"/>
          <w:tab w:val="left" w:pos="3480"/>
          <w:tab w:val="left" w:pos="4200"/>
        </w:tabs>
        <w:autoSpaceDE w:val="0"/>
        <w:autoSpaceDN w:val="0"/>
        <w:adjustRightInd w:val="0"/>
        <w:snapToGrid w:val="0"/>
        <w:spacing w:line="480" w:lineRule="auto"/>
        <w:ind w:firstLine="840" w:firstLineChars="200"/>
        <w:jc w:val="left"/>
        <w:rPr>
          <w:rFonts w:hint="eastAsia" w:ascii="宋体" w:hAnsi="宋体" w:eastAsia="宋体" w:cs="宋体"/>
          <w:snapToGrid w:val="0"/>
          <w:kern w:val="0"/>
          <w:sz w:val="21"/>
          <w:szCs w:val="21"/>
        </w:rPr>
      </w:pPr>
      <w:r>
        <w:rPr>
          <w:rFonts w:hint="eastAsia" w:ascii="宋体" w:hAnsi="宋体" w:eastAsia="宋体" w:cs="宋体"/>
          <w:snapToGrid w:val="0"/>
          <w:w w:val="200"/>
          <w:kern w:val="0"/>
          <w:sz w:val="21"/>
          <w:szCs w:val="21"/>
          <w:u w:val="single"/>
        </w:rPr>
        <w:t xml:space="preserve"> </w:t>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u w:val="single"/>
        </w:rPr>
        <w:t>（项目名称）</w:t>
      </w:r>
      <w:r>
        <w:rPr>
          <w:rFonts w:hint="eastAsia" w:ascii="宋体" w:hAnsi="宋体" w:eastAsia="宋体" w:cs="宋体"/>
          <w:snapToGrid w:val="0"/>
          <w:kern w:val="0"/>
          <w:sz w:val="21"/>
          <w:szCs w:val="21"/>
        </w:rPr>
        <w:t>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问题澄清通知（编号：</w:t>
      </w:r>
      <w:r>
        <w:rPr>
          <w:rFonts w:hint="eastAsia" w:ascii="宋体" w:hAnsi="宋体" w:eastAsia="宋体" w:cs="宋体"/>
          <w:snapToGrid w:val="0"/>
          <w:w w:val="200"/>
          <w:kern w:val="0"/>
          <w:sz w:val="21"/>
          <w:szCs w:val="21"/>
          <w:u w:val="single"/>
        </w:rPr>
        <w:t xml:space="preserve">          </w:t>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kern w:val="0"/>
          <w:sz w:val="21"/>
          <w:szCs w:val="21"/>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1. </w:t>
      </w: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2. </w:t>
      </w: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w:t>
      </w: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autoSpaceDE w:val="0"/>
        <w:autoSpaceDN w:val="0"/>
        <w:adjustRightInd w:val="0"/>
        <w:snapToGrid w:val="0"/>
        <w:spacing w:line="360" w:lineRule="auto"/>
        <w:jc w:val="left"/>
        <w:rPr>
          <w:rFonts w:hint="eastAsia" w:ascii="宋体" w:hAnsi="宋体" w:eastAsia="宋体" w:cs="宋体"/>
          <w:snapToGrid w:val="0"/>
          <w:kern w:val="0"/>
          <w:sz w:val="21"/>
          <w:szCs w:val="21"/>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投标人：</w:t>
      </w:r>
      <w:r>
        <w:rPr>
          <w:rFonts w:hint="eastAsia" w:ascii="宋体" w:hAnsi="宋体" w:eastAsia="宋体" w:cs="宋体"/>
          <w:snapToGrid w:val="0"/>
          <w:w w:val="200"/>
          <w:kern w:val="0"/>
          <w:sz w:val="21"/>
          <w:szCs w:val="21"/>
          <w:u w:val="single"/>
        </w:rPr>
        <w:t xml:space="preserve">           </w:t>
      </w:r>
      <w:r>
        <w:rPr>
          <w:rFonts w:hint="eastAsia" w:ascii="宋体" w:hAnsi="宋体" w:eastAsia="宋体" w:cs="宋体"/>
          <w:snapToGrid w:val="0"/>
          <w:kern w:val="0"/>
          <w:sz w:val="21"/>
          <w:szCs w:val="21"/>
        </w:rPr>
        <w:t xml:space="preserve">（盖单位法人章） </w:t>
      </w:r>
    </w:p>
    <w:p>
      <w:pPr>
        <w:tabs>
          <w:tab w:val="left" w:pos="6620"/>
          <w:tab w:val="left" w:pos="7040"/>
        </w:tabs>
        <w:autoSpaceDE w:val="0"/>
        <w:autoSpaceDN w:val="0"/>
        <w:adjustRightInd w:val="0"/>
        <w:snapToGrid w:val="0"/>
        <w:spacing w:line="480" w:lineRule="auto"/>
        <w:ind w:firstLine="840" w:firstLineChars="400"/>
        <w:jc w:val="both"/>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kern w:val="0"/>
          <w:sz w:val="21"/>
          <w:szCs w:val="21"/>
        </w:rPr>
        <w:t>或其委托代理人：</w:t>
      </w:r>
      <w:r>
        <w:rPr>
          <w:rFonts w:hint="eastAsia" w:ascii="宋体" w:hAnsi="宋体" w:eastAsia="宋体" w:cs="宋体"/>
          <w:snapToGrid w:val="0"/>
          <w:w w:val="200"/>
          <w:kern w:val="0"/>
          <w:sz w:val="21"/>
          <w:szCs w:val="21"/>
          <w:u w:val="single"/>
        </w:rPr>
        <w:t xml:space="preserve">         </w:t>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rPr>
        <w:t>（签名或盖章）</w:t>
      </w:r>
    </w:p>
    <w:p>
      <w:pPr>
        <w:autoSpaceDE w:val="0"/>
        <w:autoSpaceDN w:val="0"/>
        <w:adjustRightInd w:val="0"/>
        <w:snapToGrid w:val="0"/>
        <w:spacing w:line="360" w:lineRule="auto"/>
        <w:jc w:val="right"/>
        <w:rPr>
          <w:rFonts w:hint="eastAsia" w:ascii="宋体" w:hAnsi="宋体" w:eastAsia="宋体" w:cs="宋体"/>
          <w:snapToGrid w:val="0"/>
          <w:kern w:val="0"/>
          <w:sz w:val="21"/>
          <w:szCs w:val="21"/>
        </w:rPr>
      </w:pPr>
    </w:p>
    <w:p>
      <w:pPr>
        <w:pStyle w:val="120"/>
        <w:spacing w:line="360" w:lineRule="auto"/>
        <w:rPr>
          <w:rFonts w:hint="eastAsia" w:ascii="宋体" w:hAnsi="宋体" w:eastAsia="宋体" w:cs="宋体"/>
          <w:color w:val="auto"/>
          <w:sz w:val="21"/>
          <w:szCs w:val="21"/>
          <w:highlight w:val="none"/>
        </w:rPr>
      </w:pPr>
      <w:r>
        <w:rPr>
          <w:rFonts w:hint="eastAsia" w:ascii="宋体" w:hAnsi="宋体" w:eastAsia="宋体" w:cs="宋体"/>
          <w:snapToGrid w:val="0"/>
          <w:kern w:val="0"/>
          <w:sz w:val="21"/>
          <w:szCs w:val="21"/>
        </w:rPr>
        <w:t xml:space="preserve">                                          </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年</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月</w:t>
      </w:r>
      <w:r>
        <w:rPr>
          <w:rFonts w:hint="eastAsia" w:ascii="宋体" w:hAnsi="宋体" w:eastAsia="宋体" w:cs="宋体"/>
          <w:snapToGrid w:val="0"/>
          <w:w w:val="200"/>
          <w:kern w:val="0"/>
          <w:sz w:val="21"/>
          <w:szCs w:val="21"/>
          <w:u w:val="single"/>
        </w:rPr>
        <w:t xml:space="preserve"> </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日</w:t>
      </w:r>
    </w:p>
    <w:p>
      <w:pPr>
        <w:pStyle w:val="3"/>
        <w:spacing w:line="0" w:lineRule="atLeast"/>
        <w:jc w:val="center"/>
        <w:rPr>
          <w:rFonts w:ascii="宋体" w:hAnsi="宋体" w:eastAsia="宋体" w:cs="宋体"/>
          <w:snapToGrid w:val="0"/>
          <w:color w:val="auto"/>
          <w:kern w:val="0"/>
          <w:sz w:val="36"/>
          <w:szCs w:val="36"/>
          <w:highlight w:val="none"/>
        </w:rPr>
      </w:pPr>
      <w:bookmarkStart w:id="188" w:name="_Toc287607810"/>
      <w:bookmarkStart w:id="189" w:name="_Toc10863"/>
      <w:bookmarkStart w:id="190" w:name="_Toc342252655"/>
      <w:bookmarkStart w:id="191" w:name="_Toc342252471"/>
      <w:bookmarkStart w:id="192" w:name="_Toc516620648"/>
      <w:bookmarkStart w:id="193" w:name="_Toc6091_WPSOffice_Level1"/>
      <w:r>
        <w:rPr>
          <w:rFonts w:hint="eastAsia" w:ascii="宋体" w:hAnsi="宋体" w:eastAsia="宋体" w:cs="宋体"/>
          <w:snapToGrid w:val="0"/>
          <w:color w:val="auto"/>
          <w:kern w:val="0"/>
          <w:sz w:val="36"/>
          <w:szCs w:val="36"/>
          <w:highlight w:val="none"/>
        </w:rPr>
        <w:t>第三章 评标办法</w:t>
      </w:r>
      <w:bookmarkEnd w:id="188"/>
      <w:r>
        <w:rPr>
          <w:rFonts w:hint="eastAsia" w:ascii="宋体" w:hAnsi="宋体" w:eastAsia="宋体" w:cs="宋体"/>
          <w:snapToGrid w:val="0"/>
          <w:color w:val="auto"/>
          <w:kern w:val="0"/>
          <w:sz w:val="36"/>
          <w:szCs w:val="36"/>
          <w:highlight w:val="none"/>
        </w:rPr>
        <w:t>（综合评标法）</w:t>
      </w:r>
      <w:bookmarkEnd w:id="189"/>
      <w:bookmarkEnd w:id="190"/>
      <w:bookmarkEnd w:id="191"/>
      <w:bookmarkEnd w:id="192"/>
      <w:bookmarkEnd w:id="193"/>
    </w:p>
    <w:p>
      <w:pPr>
        <w:pStyle w:val="4"/>
        <w:spacing w:line="360" w:lineRule="auto"/>
        <w:rPr>
          <w:rFonts w:ascii="宋体" w:hAnsi="宋体" w:eastAsia="宋体" w:cs="宋体"/>
          <w:color w:val="auto"/>
          <w:sz w:val="24"/>
          <w:szCs w:val="24"/>
          <w:highlight w:val="none"/>
        </w:rPr>
      </w:pPr>
      <w:bookmarkStart w:id="194" w:name="_Toc516620649"/>
      <w:bookmarkStart w:id="195" w:name="_Toc29479"/>
      <w:r>
        <w:rPr>
          <w:rFonts w:hint="eastAsia" w:ascii="宋体" w:hAnsi="宋体" w:eastAsia="宋体" w:cs="宋体"/>
          <w:color w:val="auto"/>
          <w:sz w:val="24"/>
          <w:szCs w:val="24"/>
          <w:highlight w:val="none"/>
        </w:rPr>
        <w:t>评标办法前附表</w:t>
      </w:r>
      <w:bookmarkEnd w:id="194"/>
      <w:bookmarkEnd w:id="195"/>
    </w:p>
    <w:tbl>
      <w:tblPr>
        <w:tblStyle w:val="46"/>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045"/>
        <w:gridCol w:w="1566"/>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91" w:type="dxa"/>
            <w:gridSpan w:val="2"/>
            <w:vAlign w:val="center"/>
          </w:tcPr>
          <w:p>
            <w:pPr>
              <w:adjustRightInd w:val="0"/>
              <w:snapToGrid w:val="0"/>
              <w:jc w:val="center"/>
              <w:rPr>
                <w:rFonts w:ascii="宋体" w:hAnsi="宋体" w:eastAsia="宋体" w:cs="宋体"/>
                <w:b/>
                <w:color w:val="auto"/>
                <w:kern w:val="0"/>
                <w:sz w:val="21"/>
                <w:szCs w:val="21"/>
              </w:rPr>
            </w:pPr>
            <w:bookmarkStart w:id="196" w:name="_Toc287607854"/>
            <w:r>
              <w:rPr>
                <w:rFonts w:hint="eastAsia" w:ascii="宋体" w:hAnsi="宋体" w:eastAsia="宋体" w:cs="宋体"/>
                <w:b/>
                <w:color w:val="auto"/>
                <w:kern w:val="0"/>
                <w:sz w:val="21"/>
                <w:szCs w:val="21"/>
              </w:rPr>
              <w:t>条款号</w:t>
            </w:r>
          </w:p>
        </w:tc>
        <w:tc>
          <w:tcPr>
            <w:tcW w:w="1566" w:type="dxa"/>
            <w:vAlign w:val="center"/>
          </w:tcPr>
          <w:p>
            <w:pPr>
              <w:adjustRightInd w:val="0"/>
              <w:snapToGrid w:val="0"/>
              <w:jc w:val="center"/>
              <w:rPr>
                <w:rFonts w:ascii="宋体" w:hAnsi="宋体" w:eastAsia="宋体" w:cs="宋体"/>
                <w:b/>
                <w:color w:val="auto"/>
                <w:kern w:val="0"/>
                <w:sz w:val="21"/>
                <w:szCs w:val="21"/>
              </w:rPr>
            </w:pPr>
            <w:r>
              <w:rPr>
                <w:rFonts w:hint="eastAsia" w:ascii="宋体" w:hAnsi="宋体" w:eastAsia="宋体" w:cs="宋体"/>
                <w:b/>
                <w:color w:val="auto"/>
                <w:kern w:val="0"/>
                <w:sz w:val="21"/>
                <w:szCs w:val="21"/>
              </w:rPr>
              <w:t>评审因素</w:t>
            </w:r>
          </w:p>
        </w:tc>
        <w:tc>
          <w:tcPr>
            <w:tcW w:w="6188" w:type="dxa"/>
            <w:vAlign w:val="center"/>
          </w:tcPr>
          <w:p>
            <w:pPr>
              <w:adjustRightInd w:val="0"/>
              <w:snapToGrid w:val="0"/>
              <w:jc w:val="center"/>
              <w:rPr>
                <w:rFonts w:ascii="宋体" w:hAnsi="宋体" w:eastAsia="宋体" w:cs="宋体"/>
                <w:b/>
                <w:color w:val="auto"/>
                <w:kern w:val="0"/>
                <w:sz w:val="21"/>
                <w:szCs w:val="21"/>
              </w:rPr>
            </w:pPr>
            <w:r>
              <w:rPr>
                <w:rFonts w:hint="eastAsia" w:ascii="宋体" w:hAnsi="宋体" w:eastAsia="宋体" w:cs="宋体"/>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91" w:type="dxa"/>
            <w:gridSpan w:val="2"/>
            <w:vAlign w:val="center"/>
          </w:tcPr>
          <w:p>
            <w:pPr>
              <w:spacing w:line="400" w:lineRule="exact"/>
              <w:jc w:val="center"/>
              <w:rPr>
                <w:rFonts w:hint="eastAsia" w:ascii="宋体" w:hAnsi="宋体" w:eastAsia="宋体" w:cs="宋体"/>
                <w:b/>
                <w:color w:val="auto"/>
                <w:kern w:val="0"/>
                <w:sz w:val="21"/>
                <w:szCs w:val="21"/>
              </w:rPr>
            </w:pPr>
            <w:r>
              <w:rPr>
                <w:rFonts w:hint="eastAsia" w:ascii="宋体" w:hAnsi="宋体"/>
                <w:kern w:val="0"/>
              </w:rPr>
              <w:t>1</w:t>
            </w:r>
          </w:p>
        </w:tc>
        <w:tc>
          <w:tcPr>
            <w:tcW w:w="1566" w:type="dxa"/>
            <w:vAlign w:val="center"/>
          </w:tcPr>
          <w:p>
            <w:pPr>
              <w:spacing w:line="400" w:lineRule="exact"/>
              <w:jc w:val="center"/>
              <w:rPr>
                <w:rFonts w:hint="eastAsia" w:ascii="宋体" w:hAnsi="宋体" w:eastAsia="宋体" w:cs="宋体"/>
                <w:b/>
                <w:color w:val="auto"/>
                <w:kern w:val="0"/>
                <w:sz w:val="21"/>
                <w:szCs w:val="21"/>
              </w:rPr>
            </w:pPr>
            <w:r>
              <w:rPr>
                <w:rFonts w:hint="eastAsia" w:ascii="宋体" w:hAnsi="宋体" w:eastAsia="宋体" w:cs="宋体"/>
                <w:color w:val="auto"/>
                <w:kern w:val="0"/>
                <w:sz w:val="21"/>
                <w:szCs w:val="21"/>
              </w:rPr>
              <w:t>评标办法</w:t>
            </w:r>
          </w:p>
        </w:tc>
        <w:tc>
          <w:tcPr>
            <w:tcW w:w="6188" w:type="dxa"/>
            <w:vAlign w:val="center"/>
          </w:tcPr>
          <w:p>
            <w:pPr>
              <w:spacing w:line="400" w:lineRule="exact"/>
              <w:ind w:firstLine="420" w:firstLineChars="200"/>
              <w:jc w:val="left"/>
              <w:rPr>
                <w:rFonts w:hint="eastAsia" w:ascii="宋体" w:hAnsi="宋体" w:eastAsia="宋体" w:cs="宋体"/>
                <w:b/>
                <w:color w:val="auto"/>
                <w:kern w:val="0"/>
                <w:sz w:val="21"/>
                <w:szCs w:val="21"/>
              </w:rPr>
            </w:pPr>
            <w:r>
              <w:rPr>
                <w:rFonts w:hint="eastAsia" w:ascii="宋体" w:hAnsi="宋体" w:eastAsia="宋体" w:cs="宋体"/>
                <w:color w:val="auto"/>
                <w:kern w:val="0"/>
                <w:sz w:val="21"/>
                <w:szCs w:val="21"/>
              </w:rPr>
              <w:t>本次评标采用综合评估法。评标委员会按照本章第 2.2 款规定的评分标准进行</w:t>
            </w:r>
            <w:r>
              <w:rPr>
                <w:rFonts w:hint="eastAsia" w:ascii="宋体" w:hAnsi="宋体" w:eastAsia="宋体" w:cs="宋体"/>
                <w:color w:val="auto"/>
                <w:kern w:val="0"/>
                <w:sz w:val="21"/>
                <w:szCs w:val="21"/>
                <w:lang w:eastAsia="zh-CN"/>
              </w:rPr>
              <w:t>评分</w:t>
            </w:r>
            <w:r>
              <w:rPr>
                <w:rFonts w:hint="eastAsia" w:ascii="宋体" w:hAnsi="宋体" w:eastAsia="宋体" w:cs="宋体"/>
                <w:color w:val="auto"/>
                <w:kern w:val="0"/>
                <w:sz w:val="21"/>
                <w:szCs w:val="21"/>
              </w:rPr>
              <w:t>，按得分由高到低顺序推荐中标候选人，或根据招标人授权直接确定中标人。综合评分相等时，以投标报价低的优先；投标报价相等的，以“投标人在红名单中优先”的原则排序，投标人是否属于红名单，以开标环节信用状况查询结果为准；投标人均在红名单中或均不在红名单中的，由评标委员会按照</w:t>
            </w:r>
            <w:r>
              <w:rPr>
                <w:rFonts w:hint="eastAsia" w:ascii="宋体" w:hAnsi="宋体" w:eastAsia="宋体" w:cs="宋体"/>
                <w:color w:val="auto"/>
                <w:kern w:val="0"/>
                <w:sz w:val="21"/>
                <w:szCs w:val="21"/>
                <w:u w:val="single"/>
                <w:lang w:val="en-US" w:eastAsia="zh-CN"/>
              </w:rPr>
              <w:t>投票</w:t>
            </w:r>
            <w:r>
              <w:rPr>
                <w:rFonts w:hint="eastAsia" w:ascii="宋体" w:hAnsi="宋体" w:eastAsia="宋体" w:cs="宋体"/>
                <w:color w:val="auto"/>
                <w:kern w:val="0"/>
                <w:sz w:val="21"/>
                <w:szCs w:val="21"/>
              </w:rPr>
              <w:t>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46" w:type="dxa"/>
            <w:vMerge w:val="restart"/>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2.1.1</w:t>
            </w:r>
          </w:p>
        </w:tc>
        <w:tc>
          <w:tcPr>
            <w:tcW w:w="1045" w:type="dxa"/>
            <w:vMerge w:val="restart"/>
            <w:textDirection w:val="tbRlV"/>
            <w:vAlign w:val="center"/>
          </w:tcPr>
          <w:p>
            <w:pPr>
              <w:adjustRightInd w:val="0"/>
              <w:snapToGrid w:val="0"/>
              <w:ind w:left="113" w:right="113"/>
              <w:jc w:val="center"/>
              <w:rPr>
                <w:rFonts w:ascii="宋体" w:hAnsi="宋体" w:eastAsia="宋体" w:cs="宋体"/>
                <w:color w:val="auto"/>
                <w:spacing w:val="40"/>
                <w:kern w:val="0"/>
                <w:sz w:val="21"/>
                <w:szCs w:val="21"/>
              </w:rPr>
            </w:pPr>
            <w:r>
              <w:rPr>
                <w:rFonts w:hint="eastAsia" w:ascii="宋体" w:hAnsi="宋体" w:eastAsia="宋体" w:cs="宋体"/>
                <w:color w:val="auto"/>
                <w:spacing w:val="40"/>
                <w:kern w:val="0"/>
                <w:sz w:val="21"/>
                <w:szCs w:val="21"/>
              </w:rPr>
              <w:t>形式评审标准</w:t>
            </w:r>
          </w:p>
        </w:tc>
        <w:tc>
          <w:tcPr>
            <w:tcW w:w="1566" w:type="dxa"/>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投标人名称</w:t>
            </w:r>
          </w:p>
        </w:tc>
        <w:tc>
          <w:tcPr>
            <w:tcW w:w="6188" w:type="dxa"/>
            <w:vAlign w:val="center"/>
          </w:tcPr>
          <w:p>
            <w:pPr>
              <w:adjustRightInd w:val="0"/>
              <w:snapToGrid w:val="0"/>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与营业执照一致</w:t>
            </w:r>
            <w:r>
              <w:rPr>
                <w:rFonts w:hint="eastAsia" w:ascii="宋体" w:hAnsi="宋体" w:eastAsia="宋体" w:cs="宋体"/>
                <w:color w:val="auto"/>
                <w:kern w:val="0"/>
                <w:sz w:val="21"/>
                <w:szCs w:val="21"/>
                <w:lang w:eastAsia="zh-CN"/>
              </w:rPr>
              <w:t>，依法变更名称的应提交相应证明材料</w:t>
            </w:r>
            <w:r>
              <w:rPr>
                <w:rFonts w:hint="eastAsia" w:ascii="宋体" w:hAnsi="宋体" w:eastAsia="宋体" w:cs="宋体"/>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946" w:type="dxa"/>
            <w:vMerge w:val="continue"/>
          </w:tcPr>
          <w:p>
            <w:pPr>
              <w:adjustRightInd w:val="0"/>
              <w:snapToGrid w:val="0"/>
              <w:rPr>
                <w:rFonts w:ascii="宋体" w:hAnsi="宋体" w:eastAsia="宋体" w:cs="宋体"/>
                <w:color w:val="auto"/>
                <w:sz w:val="21"/>
                <w:szCs w:val="21"/>
              </w:rPr>
            </w:pPr>
          </w:p>
        </w:tc>
        <w:tc>
          <w:tcPr>
            <w:tcW w:w="1045" w:type="dxa"/>
            <w:vMerge w:val="continue"/>
          </w:tcPr>
          <w:p>
            <w:pPr>
              <w:adjustRightInd w:val="0"/>
              <w:snapToGrid w:val="0"/>
              <w:rPr>
                <w:rFonts w:ascii="宋体" w:hAnsi="宋体" w:eastAsia="宋体" w:cs="宋体"/>
                <w:color w:val="auto"/>
                <w:sz w:val="21"/>
                <w:szCs w:val="21"/>
              </w:rPr>
            </w:pPr>
          </w:p>
        </w:tc>
        <w:tc>
          <w:tcPr>
            <w:tcW w:w="1566" w:type="dxa"/>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投标函签字盖章</w:t>
            </w:r>
          </w:p>
        </w:tc>
        <w:tc>
          <w:tcPr>
            <w:tcW w:w="6188" w:type="dxa"/>
            <w:vAlign w:val="center"/>
          </w:tcPr>
          <w:p>
            <w:pPr>
              <w:adjustRightInd w:val="0"/>
              <w:snapToGrid w:val="0"/>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有法定代表人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color w:val="auto"/>
                <w:kern w:val="0"/>
                <w:sz w:val="21"/>
                <w:szCs w:val="21"/>
              </w:rPr>
              <w:t>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946" w:type="dxa"/>
            <w:vMerge w:val="continue"/>
          </w:tcPr>
          <w:p>
            <w:pPr>
              <w:adjustRightInd w:val="0"/>
              <w:snapToGrid w:val="0"/>
              <w:rPr>
                <w:rFonts w:ascii="宋体" w:hAnsi="宋体" w:eastAsia="宋体" w:cs="宋体"/>
                <w:color w:val="auto"/>
                <w:sz w:val="21"/>
                <w:szCs w:val="21"/>
              </w:rPr>
            </w:pPr>
          </w:p>
        </w:tc>
        <w:tc>
          <w:tcPr>
            <w:tcW w:w="1045" w:type="dxa"/>
            <w:vMerge w:val="continue"/>
          </w:tcPr>
          <w:p>
            <w:pPr>
              <w:adjustRightInd w:val="0"/>
              <w:snapToGrid w:val="0"/>
              <w:rPr>
                <w:rFonts w:ascii="宋体" w:hAnsi="宋体" w:eastAsia="宋体" w:cs="宋体"/>
                <w:color w:val="auto"/>
                <w:sz w:val="21"/>
                <w:szCs w:val="21"/>
              </w:rPr>
            </w:pPr>
          </w:p>
        </w:tc>
        <w:tc>
          <w:tcPr>
            <w:tcW w:w="1566" w:type="dxa"/>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投标文件格式</w:t>
            </w:r>
          </w:p>
        </w:tc>
        <w:tc>
          <w:tcPr>
            <w:tcW w:w="6188" w:type="dxa"/>
            <w:vAlign w:val="center"/>
          </w:tcPr>
          <w:p>
            <w:pPr>
              <w:adjustRightInd w:val="0"/>
              <w:snapToGrid w:val="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eastAsia="zh-CN"/>
              </w:rPr>
              <w:t>第五章</w:t>
            </w:r>
            <w:r>
              <w:rPr>
                <w:rFonts w:hint="eastAsia" w:ascii="宋体" w:hAnsi="宋体" w:eastAsia="宋体" w:cs="宋体"/>
                <w:color w:val="auto"/>
                <w:sz w:val="21"/>
                <w:szCs w:val="21"/>
              </w:rPr>
              <w:t>“投标文件格式”的要求，字迹清晰可辨。符合第二章“投标人须知”第3.7款、4.1款规定。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946" w:type="dxa"/>
            <w:vMerge w:val="continue"/>
          </w:tcPr>
          <w:p>
            <w:pPr>
              <w:adjustRightInd w:val="0"/>
              <w:snapToGrid w:val="0"/>
              <w:rPr>
                <w:rFonts w:ascii="宋体" w:hAnsi="宋体" w:eastAsia="宋体" w:cs="宋体"/>
                <w:color w:val="auto"/>
                <w:sz w:val="21"/>
                <w:szCs w:val="21"/>
              </w:rPr>
            </w:pPr>
          </w:p>
        </w:tc>
        <w:tc>
          <w:tcPr>
            <w:tcW w:w="1045" w:type="dxa"/>
            <w:vMerge w:val="continue"/>
          </w:tcPr>
          <w:p>
            <w:pPr>
              <w:adjustRightInd w:val="0"/>
              <w:snapToGrid w:val="0"/>
              <w:rPr>
                <w:rFonts w:ascii="宋体" w:hAnsi="宋体" w:eastAsia="宋体" w:cs="宋体"/>
                <w:color w:val="auto"/>
                <w:sz w:val="21"/>
                <w:szCs w:val="21"/>
              </w:rPr>
            </w:pPr>
          </w:p>
        </w:tc>
        <w:tc>
          <w:tcPr>
            <w:tcW w:w="1566" w:type="dxa"/>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报价唯一</w:t>
            </w:r>
          </w:p>
        </w:tc>
        <w:tc>
          <w:tcPr>
            <w:tcW w:w="6188" w:type="dxa"/>
            <w:vAlign w:val="center"/>
          </w:tcPr>
          <w:p>
            <w:pPr>
              <w:adjustRightInd w:val="0"/>
              <w:snapToGrid w:val="0"/>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946" w:type="dxa"/>
            <w:vMerge w:val="continue"/>
          </w:tcPr>
          <w:p>
            <w:pPr>
              <w:adjustRightInd w:val="0"/>
              <w:snapToGrid w:val="0"/>
              <w:rPr>
                <w:rFonts w:ascii="宋体" w:hAnsi="宋体" w:eastAsia="宋体" w:cs="宋体"/>
                <w:color w:val="auto"/>
                <w:sz w:val="21"/>
                <w:szCs w:val="21"/>
              </w:rPr>
            </w:pPr>
          </w:p>
        </w:tc>
        <w:tc>
          <w:tcPr>
            <w:tcW w:w="1045" w:type="dxa"/>
            <w:vMerge w:val="continue"/>
          </w:tcPr>
          <w:p>
            <w:pPr>
              <w:adjustRightInd w:val="0"/>
              <w:snapToGrid w:val="0"/>
              <w:rPr>
                <w:rFonts w:ascii="宋体" w:hAnsi="宋体" w:eastAsia="宋体" w:cs="宋体"/>
                <w:color w:val="auto"/>
                <w:sz w:val="21"/>
                <w:szCs w:val="21"/>
              </w:rPr>
            </w:pPr>
          </w:p>
        </w:tc>
        <w:tc>
          <w:tcPr>
            <w:tcW w:w="1566" w:type="dxa"/>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投标文件的签署</w:t>
            </w:r>
          </w:p>
        </w:tc>
        <w:tc>
          <w:tcPr>
            <w:tcW w:w="6188" w:type="dxa"/>
            <w:vAlign w:val="center"/>
          </w:tcPr>
          <w:p>
            <w:pPr>
              <w:adjustRightInd w:val="0"/>
              <w:snapToGrid w:val="0"/>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投标文件上法定代表人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color w:val="auto"/>
                <w:kern w:val="0"/>
                <w:sz w:val="21"/>
                <w:szCs w:val="21"/>
              </w:rPr>
              <w:t>或其授权代理人的签字齐全,符合招标文件规定。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946" w:type="dxa"/>
            <w:vMerge w:val="continue"/>
          </w:tcPr>
          <w:p>
            <w:pPr>
              <w:adjustRightInd w:val="0"/>
              <w:snapToGrid w:val="0"/>
              <w:rPr>
                <w:rFonts w:ascii="宋体" w:hAnsi="宋体" w:eastAsia="宋体" w:cs="宋体"/>
                <w:color w:val="auto"/>
                <w:sz w:val="21"/>
                <w:szCs w:val="21"/>
              </w:rPr>
            </w:pPr>
          </w:p>
        </w:tc>
        <w:tc>
          <w:tcPr>
            <w:tcW w:w="1045" w:type="dxa"/>
            <w:vMerge w:val="continue"/>
          </w:tcPr>
          <w:p>
            <w:pPr>
              <w:adjustRightInd w:val="0"/>
              <w:snapToGrid w:val="0"/>
              <w:rPr>
                <w:rFonts w:ascii="宋体" w:hAnsi="宋体" w:eastAsia="宋体" w:cs="宋体"/>
                <w:color w:val="auto"/>
                <w:sz w:val="21"/>
                <w:szCs w:val="21"/>
              </w:rPr>
            </w:pPr>
          </w:p>
        </w:tc>
        <w:tc>
          <w:tcPr>
            <w:tcW w:w="1566" w:type="dxa"/>
            <w:vAlign w:val="center"/>
          </w:tcPr>
          <w:p>
            <w:pPr>
              <w:spacing w:line="4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投标文件份数</w:t>
            </w:r>
          </w:p>
        </w:tc>
        <w:tc>
          <w:tcPr>
            <w:tcW w:w="6188" w:type="dxa"/>
            <w:vAlign w:val="center"/>
          </w:tcPr>
          <w:p>
            <w:pPr>
              <w:snapToGrid w:val="0"/>
              <w:spacing w:line="400" w:lineRule="exact"/>
              <w:ind w:firstLine="380" w:firstLineChars="181"/>
              <w:rPr>
                <w:rFonts w:ascii="宋体" w:hAnsi="宋体" w:eastAsia="宋体" w:cs="宋体"/>
                <w:color w:val="auto"/>
                <w:kern w:val="0"/>
                <w:sz w:val="21"/>
                <w:szCs w:val="21"/>
              </w:rPr>
            </w:pPr>
            <w:r>
              <w:rPr>
                <w:rFonts w:hint="eastAsia" w:ascii="宋体" w:hAnsi="宋体" w:eastAsia="宋体" w:cs="宋体"/>
                <w:color w:val="auto"/>
                <w:kern w:val="0"/>
                <w:sz w:val="21"/>
                <w:szCs w:val="21"/>
              </w:rPr>
              <w:t>符合第二章“投标人须知”第3.7.4项规定。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946" w:type="dxa"/>
            <w:vMerge w:val="continue"/>
          </w:tcPr>
          <w:p>
            <w:pPr>
              <w:adjustRightInd w:val="0"/>
              <w:snapToGrid w:val="0"/>
              <w:rPr>
                <w:rFonts w:ascii="宋体" w:hAnsi="宋体" w:eastAsia="宋体" w:cs="宋体"/>
                <w:color w:val="auto"/>
                <w:sz w:val="21"/>
                <w:szCs w:val="21"/>
              </w:rPr>
            </w:pPr>
          </w:p>
        </w:tc>
        <w:tc>
          <w:tcPr>
            <w:tcW w:w="1045" w:type="dxa"/>
            <w:vMerge w:val="continue"/>
          </w:tcPr>
          <w:p>
            <w:pPr>
              <w:adjustRightInd w:val="0"/>
              <w:snapToGrid w:val="0"/>
              <w:rPr>
                <w:rFonts w:ascii="宋体" w:hAnsi="宋体" w:eastAsia="宋体" w:cs="宋体"/>
                <w:color w:val="auto"/>
                <w:sz w:val="21"/>
                <w:szCs w:val="21"/>
              </w:rPr>
            </w:pPr>
          </w:p>
        </w:tc>
        <w:tc>
          <w:tcPr>
            <w:tcW w:w="1566" w:type="dxa"/>
            <w:vAlign w:val="center"/>
          </w:tcPr>
          <w:p>
            <w:pPr>
              <w:adjustRightInd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snapToGrid w:val="0"/>
                <w:color w:val="auto"/>
                <w:sz w:val="21"/>
                <w:szCs w:val="21"/>
                <w:highlight w:val="none"/>
                <w:lang w:eastAsia="zh-CN"/>
              </w:rPr>
              <w:t>（单位负责人）</w:t>
            </w:r>
          </w:p>
          <w:p>
            <w:pPr>
              <w:adjustRightInd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或委托代理人</w:t>
            </w:r>
          </w:p>
        </w:tc>
        <w:tc>
          <w:tcPr>
            <w:tcW w:w="6188" w:type="dxa"/>
            <w:vAlign w:val="center"/>
          </w:tcPr>
          <w:p>
            <w:pPr>
              <w:adjustRightInd w:val="0"/>
              <w:snapToGrid w:val="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946" w:type="dxa"/>
            <w:vMerge w:val="restart"/>
            <w:vAlign w:val="center"/>
          </w:tcPr>
          <w:p>
            <w:pPr>
              <w:adjustRightInd w:val="0"/>
              <w:snapToGrid w:val="0"/>
              <w:jc w:val="center"/>
              <w:rPr>
                <w:rFonts w:ascii="宋体" w:hAnsi="宋体" w:eastAsia="宋体" w:cs="宋体"/>
                <w:color w:val="auto"/>
                <w:sz w:val="21"/>
                <w:szCs w:val="21"/>
              </w:rPr>
            </w:pPr>
            <w:r>
              <w:rPr>
                <w:rFonts w:hint="eastAsia" w:ascii="宋体" w:hAnsi="宋体" w:eastAsia="宋体" w:cs="宋体"/>
                <w:color w:val="auto"/>
                <w:kern w:val="0"/>
                <w:sz w:val="21"/>
                <w:szCs w:val="21"/>
              </w:rPr>
              <w:t>2.1.2</w:t>
            </w:r>
          </w:p>
        </w:tc>
        <w:tc>
          <w:tcPr>
            <w:tcW w:w="1045" w:type="dxa"/>
            <w:vMerge w:val="restart"/>
            <w:vAlign w:val="center"/>
          </w:tcPr>
          <w:p>
            <w:pPr>
              <w:adjustRightInd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资</w:t>
            </w:r>
          </w:p>
          <w:p>
            <w:pPr>
              <w:adjustRightInd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格</w:t>
            </w:r>
          </w:p>
          <w:p>
            <w:pPr>
              <w:adjustRightInd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评</w:t>
            </w:r>
          </w:p>
          <w:p>
            <w:pPr>
              <w:adjustRightInd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审</w:t>
            </w:r>
          </w:p>
          <w:p>
            <w:pPr>
              <w:adjustRightInd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标</w:t>
            </w:r>
          </w:p>
          <w:p>
            <w:pPr>
              <w:adjustRightInd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准</w:t>
            </w:r>
          </w:p>
        </w:tc>
        <w:tc>
          <w:tcPr>
            <w:tcW w:w="1566" w:type="dxa"/>
            <w:vAlign w:val="center"/>
          </w:tcPr>
          <w:p>
            <w:pPr>
              <w:adjustRightInd w:val="0"/>
              <w:snapToGrid w:val="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资质条件</w:t>
            </w:r>
          </w:p>
        </w:tc>
        <w:tc>
          <w:tcPr>
            <w:tcW w:w="6188" w:type="dxa"/>
            <w:vAlign w:val="center"/>
          </w:tcPr>
          <w:p>
            <w:pPr>
              <w:adjustRightInd w:val="0"/>
              <w:snapToGrid w:val="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946" w:type="dxa"/>
            <w:vMerge w:val="continue"/>
            <w:vAlign w:val="center"/>
          </w:tcPr>
          <w:p>
            <w:pPr>
              <w:adjustRightInd w:val="0"/>
              <w:snapToGrid w:val="0"/>
              <w:jc w:val="center"/>
              <w:rPr>
                <w:rFonts w:ascii="宋体" w:hAnsi="宋体" w:eastAsia="宋体" w:cs="宋体"/>
                <w:color w:val="auto"/>
                <w:kern w:val="0"/>
                <w:sz w:val="21"/>
                <w:szCs w:val="21"/>
              </w:rPr>
            </w:pPr>
          </w:p>
        </w:tc>
        <w:tc>
          <w:tcPr>
            <w:tcW w:w="1045" w:type="dxa"/>
            <w:vMerge w:val="continue"/>
            <w:vAlign w:val="center"/>
          </w:tcPr>
          <w:p>
            <w:pPr>
              <w:adjustRightInd w:val="0"/>
              <w:snapToGrid w:val="0"/>
              <w:jc w:val="center"/>
              <w:rPr>
                <w:rFonts w:ascii="宋体" w:hAnsi="宋体" w:eastAsia="宋体" w:cs="宋体"/>
                <w:color w:val="auto"/>
                <w:sz w:val="21"/>
                <w:szCs w:val="21"/>
              </w:rPr>
            </w:pPr>
          </w:p>
        </w:tc>
        <w:tc>
          <w:tcPr>
            <w:tcW w:w="1566" w:type="dxa"/>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业绩要求</w:t>
            </w:r>
          </w:p>
        </w:tc>
        <w:tc>
          <w:tcPr>
            <w:tcW w:w="6188" w:type="dxa"/>
            <w:vAlign w:val="center"/>
          </w:tcPr>
          <w:p>
            <w:pPr>
              <w:adjustRightInd w:val="0"/>
              <w:snapToGrid w:val="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946" w:type="dxa"/>
            <w:vMerge w:val="continue"/>
            <w:vAlign w:val="center"/>
          </w:tcPr>
          <w:p>
            <w:pPr>
              <w:adjustRightInd w:val="0"/>
              <w:snapToGrid w:val="0"/>
              <w:jc w:val="center"/>
              <w:rPr>
                <w:rFonts w:ascii="宋体" w:hAnsi="宋体" w:eastAsia="宋体" w:cs="宋体"/>
                <w:color w:val="auto"/>
                <w:kern w:val="0"/>
                <w:sz w:val="21"/>
                <w:szCs w:val="21"/>
              </w:rPr>
            </w:pPr>
          </w:p>
        </w:tc>
        <w:tc>
          <w:tcPr>
            <w:tcW w:w="1045" w:type="dxa"/>
            <w:vMerge w:val="continue"/>
            <w:vAlign w:val="center"/>
          </w:tcPr>
          <w:p>
            <w:pPr>
              <w:adjustRightInd w:val="0"/>
              <w:snapToGrid w:val="0"/>
              <w:jc w:val="center"/>
              <w:rPr>
                <w:rFonts w:ascii="宋体" w:hAnsi="宋体" w:eastAsia="宋体" w:cs="宋体"/>
                <w:color w:val="auto"/>
                <w:sz w:val="21"/>
                <w:szCs w:val="21"/>
              </w:rPr>
            </w:pPr>
          </w:p>
        </w:tc>
        <w:tc>
          <w:tcPr>
            <w:tcW w:w="1566" w:type="dxa"/>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投标截止日投标资格情况</w:t>
            </w:r>
          </w:p>
        </w:tc>
        <w:tc>
          <w:tcPr>
            <w:tcW w:w="6188" w:type="dxa"/>
            <w:vAlign w:val="center"/>
          </w:tcPr>
          <w:p>
            <w:pPr>
              <w:adjustRightInd w:val="0"/>
              <w:snapToGrid w:val="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946" w:type="dxa"/>
            <w:vMerge w:val="continue"/>
          </w:tcPr>
          <w:p>
            <w:pPr>
              <w:adjustRightInd w:val="0"/>
              <w:snapToGrid w:val="0"/>
              <w:rPr>
                <w:rFonts w:ascii="宋体" w:hAnsi="宋体" w:eastAsia="宋体" w:cs="宋体"/>
                <w:color w:val="auto"/>
                <w:sz w:val="21"/>
                <w:szCs w:val="21"/>
              </w:rPr>
            </w:pPr>
          </w:p>
        </w:tc>
        <w:tc>
          <w:tcPr>
            <w:tcW w:w="1045" w:type="dxa"/>
            <w:vMerge w:val="continue"/>
          </w:tcPr>
          <w:p>
            <w:pPr>
              <w:adjustRightInd w:val="0"/>
              <w:snapToGrid w:val="0"/>
              <w:rPr>
                <w:rFonts w:ascii="宋体" w:hAnsi="宋体" w:eastAsia="宋体" w:cs="宋体"/>
                <w:color w:val="auto"/>
                <w:sz w:val="21"/>
                <w:szCs w:val="21"/>
              </w:rPr>
            </w:pPr>
          </w:p>
        </w:tc>
        <w:tc>
          <w:tcPr>
            <w:tcW w:w="1566" w:type="dxa"/>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其他要求</w:t>
            </w:r>
          </w:p>
        </w:tc>
        <w:tc>
          <w:tcPr>
            <w:tcW w:w="6188" w:type="dxa"/>
            <w:vAlign w:val="center"/>
          </w:tcPr>
          <w:p>
            <w:pPr>
              <w:adjustRightInd w:val="0"/>
              <w:snapToGrid w:val="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946" w:type="dxa"/>
            <w:vMerge w:val="restart"/>
            <w:vAlign w:val="center"/>
          </w:tcPr>
          <w:p>
            <w:pPr>
              <w:adjustRightInd w:val="0"/>
              <w:snapToGrid w:val="0"/>
              <w:jc w:val="center"/>
              <w:rPr>
                <w:rFonts w:ascii="宋体" w:hAnsi="宋体" w:eastAsia="宋体" w:cs="宋体"/>
                <w:color w:val="auto"/>
                <w:sz w:val="21"/>
                <w:szCs w:val="21"/>
              </w:rPr>
            </w:pPr>
            <w:r>
              <w:rPr>
                <w:rFonts w:hint="eastAsia" w:ascii="宋体" w:hAnsi="宋体" w:eastAsia="宋体" w:cs="宋体"/>
                <w:color w:val="auto"/>
                <w:kern w:val="0"/>
                <w:sz w:val="21"/>
                <w:szCs w:val="21"/>
              </w:rPr>
              <w:t>2.1.3</w:t>
            </w:r>
          </w:p>
          <w:p>
            <w:pPr>
              <w:adjustRightInd w:val="0"/>
              <w:snapToGrid w:val="0"/>
              <w:ind w:left="113" w:right="113"/>
              <w:jc w:val="center"/>
              <w:rPr>
                <w:rFonts w:ascii="宋体" w:hAnsi="宋体" w:eastAsia="宋体" w:cs="宋体"/>
                <w:color w:val="auto"/>
                <w:spacing w:val="40"/>
                <w:sz w:val="21"/>
                <w:szCs w:val="21"/>
              </w:rPr>
            </w:pPr>
          </w:p>
        </w:tc>
        <w:tc>
          <w:tcPr>
            <w:tcW w:w="1045" w:type="dxa"/>
            <w:vMerge w:val="restart"/>
            <w:vAlign w:val="center"/>
          </w:tcPr>
          <w:p>
            <w:pPr>
              <w:adjustRightInd w:val="0"/>
              <w:snapToGrid w:val="0"/>
              <w:ind w:left="113" w:right="113"/>
              <w:jc w:val="center"/>
              <w:rPr>
                <w:rFonts w:ascii="宋体" w:hAnsi="宋体" w:eastAsia="宋体" w:cs="宋体"/>
                <w:color w:val="auto"/>
                <w:sz w:val="21"/>
                <w:szCs w:val="21"/>
              </w:rPr>
            </w:pPr>
            <w:r>
              <w:rPr>
                <w:rFonts w:hint="eastAsia" w:ascii="宋体" w:hAnsi="宋体" w:eastAsia="宋体" w:cs="宋体"/>
                <w:color w:val="auto"/>
                <w:kern w:val="0"/>
                <w:sz w:val="21"/>
                <w:szCs w:val="21"/>
              </w:rPr>
              <w:t>响应性评审标准</w:t>
            </w:r>
          </w:p>
        </w:tc>
        <w:tc>
          <w:tcPr>
            <w:tcW w:w="1566" w:type="dxa"/>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投标内容</w:t>
            </w:r>
          </w:p>
        </w:tc>
        <w:tc>
          <w:tcPr>
            <w:tcW w:w="6188" w:type="dxa"/>
            <w:vAlign w:val="center"/>
          </w:tcPr>
          <w:p>
            <w:pPr>
              <w:adjustRightInd w:val="0"/>
              <w:snapToGrid w:val="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946" w:type="dxa"/>
            <w:vMerge w:val="continue"/>
          </w:tcPr>
          <w:p>
            <w:pPr>
              <w:adjustRightInd w:val="0"/>
              <w:snapToGrid w:val="0"/>
              <w:rPr>
                <w:rFonts w:ascii="宋体" w:hAnsi="宋体" w:eastAsia="宋体" w:cs="宋体"/>
                <w:color w:val="auto"/>
                <w:sz w:val="21"/>
                <w:szCs w:val="21"/>
              </w:rPr>
            </w:pPr>
          </w:p>
        </w:tc>
        <w:tc>
          <w:tcPr>
            <w:tcW w:w="1045" w:type="dxa"/>
            <w:vMerge w:val="continue"/>
          </w:tcPr>
          <w:p>
            <w:pPr>
              <w:adjustRightInd w:val="0"/>
              <w:snapToGrid w:val="0"/>
              <w:rPr>
                <w:rFonts w:ascii="宋体" w:hAnsi="宋体" w:eastAsia="宋体" w:cs="宋体"/>
                <w:color w:val="auto"/>
                <w:sz w:val="21"/>
                <w:szCs w:val="21"/>
              </w:rPr>
            </w:pPr>
          </w:p>
        </w:tc>
        <w:tc>
          <w:tcPr>
            <w:tcW w:w="1566" w:type="dxa"/>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服务期限</w:t>
            </w:r>
          </w:p>
        </w:tc>
        <w:tc>
          <w:tcPr>
            <w:tcW w:w="6188" w:type="dxa"/>
            <w:vAlign w:val="center"/>
          </w:tcPr>
          <w:p>
            <w:pPr>
              <w:adjustRightInd w:val="0"/>
              <w:snapToGrid w:val="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符合第二章“投标人须知”</w:t>
            </w:r>
            <w:r>
              <w:rPr>
                <w:rFonts w:hint="eastAsia" w:ascii="宋体" w:hAnsi="宋体" w:eastAsia="宋体" w:cs="宋体"/>
                <w:color w:val="auto"/>
                <w:kern w:val="0"/>
                <w:sz w:val="21"/>
                <w:szCs w:val="21"/>
              </w:rPr>
              <w:t>前附表</w:t>
            </w:r>
            <w:r>
              <w:rPr>
                <w:rFonts w:hint="eastAsia" w:ascii="宋体" w:hAnsi="宋体" w:eastAsia="宋体" w:cs="宋体"/>
                <w:color w:val="auto"/>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46" w:type="dxa"/>
            <w:vMerge w:val="continue"/>
          </w:tcPr>
          <w:p>
            <w:pPr>
              <w:adjustRightInd w:val="0"/>
              <w:snapToGrid w:val="0"/>
              <w:rPr>
                <w:rFonts w:ascii="宋体" w:hAnsi="宋体" w:eastAsia="宋体" w:cs="宋体"/>
                <w:color w:val="auto"/>
                <w:sz w:val="21"/>
                <w:szCs w:val="21"/>
              </w:rPr>
            </w:pPr>
          </w:p>
        </w:tc>
        <w:tc>
          <w:tcPr>
            <w:tcW w:w="1045" w:type="dxa"/>
            <w:vMerge w:val="continue"/>
          </w:tcPr>
          <w:p>
            <w:pPr>
              <w:adjustRightInd w:val="0"/>
              <w:snapToGrid w:val="0"/>
              <w:rPr>
                <w:rFonts w:ascii="宋体" w:hAnsi="宋体" w:eastAsia="宋体" w:cs="宋体"/>
                <w:color w:val="auto"/>
                <w:sz w:val="21"/>
                <w:szCs w:val="21"/>
              </w:rPr>
            </w:pPr>
          </w:p>
        </w:tc>
        <w:tc>
          <w:tcPr>
            <w:tcW w:w="1566" w:type="dxa"/>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质量要求</w:t>
            </w:r>
          </w:p>
        </w:tc>
        <w:tc>
          <w:tcPr>
            <w:tcW w:w="6188" w:type="dxa"/>
            <w:vAlign w:val="center"/>
          </w:tcPr>
          <w:p>
            <w:pPr>
              <w:adjustRightInd w:val="0"/>
              <w:snapToGrid w:val="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符合第二章“投标人须知”</w:t>
            </w:r>
            <w:r>
              <w:rPr>
                <w:rFonts w:hint="eastAsia" w:ascii="宋体" w:hAnsi="宋体" w:eastAsia="宋体" w:cs="宋体"/>
                <w:color w:val="auto"/>
                <w:kern w:val="0"/>
                <w:sz w:val="21"/>
                <w:szCs w:val="21"/>
              </w:rPr>
              <w:t>前附表</w:t>
            </w:r>
            <w:r>
              <w:rPr>
                <w:rFonts w:hint="eastAsia" w:ascii="宋体" w:hAnsi="宋体" w:eastAsia="宋体" w:cs="宋体"/>
                <w:color w:val="auto"/>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946" w:type="dxa"/>
            <w:vMerge w:val="continue"/>
          </w:tcPr>
          <w:p>
            <w:pPr>
              <w:adjustRightInd w:val="0"/>
              <w:snapToGrid w:val="0"/>
              <w:rPr>
                <w:rFonts w:ascii="宋体" w:hAnsi="宋体" w:eastAsia="宋体" w:cs="宋体"/>
                <w:color w:val="auto"/>
                <w:sz w:val="21"/>
                <w:szCs w:val="21"/>
              </w:rPr>
            </w:pPr>
          </w:p>
        </w:tc>
        <w:tc>
          <w:tcPr>
            <w:tcW w:w="1045" w:type="dxa"/>
            <w:vMerge w:val="continue"/>
          </w:tcPr>
          <w:p>
            <w:pPr>
              <w:adjustRightInd w:val="0"/>
              <w:snapToGrid w:val="0"/>
              <w:rPr>
                <w:rFonts w:ascii="宋体" w:hAnsi="宋体" w:eastAsia="宋体" w:cs="宋体"/>
                <w:color w:val="auto"/>
                <w:sz w:val="21"/>
                <w:szCs w:val="21"/>
              </w:rPr>
            </w:pPr>
          </w:p>
        </w:tc>
        <w:tc>
          <w:tcPr>
            <w:tcW w:w="1566" w:type="dxa"/>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投标有效期</w:t>
            </w:r>
          </w:p>
        </w:tc>
        <w:tc>
          <w:tcPr>
            <w:tcW w:w="6188" w:type="dxa"/>
            <w:vAlign w:val="center"/>
          </w:tcPr>
          <w:p>
            <w:pPr>
              <w:adjustRightInd w:val="0"/>
              <w:snapToGrid w:val="0"/>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946" w:type="dxa"/>
            <w:vMerge w:val="continue"/>
          </w:tcPr>
          <w:p>
            <w:pPr>
              <w:adjustRightInd w:val="0"/>
              <w:snapToGrid w:val="0"/>
              <w:rPr>
                <w:rFonts w:ascii="宋体" w:hAnsi="宋体" w:eastAsia="宋体" w:cs="宋体"/>
                <w:color w:val="auto"/>
                <w:sz w:val="21"/>
                <w:szCs w:val="21"/>
              </w:rPr>
            </w:pPr>
          </w:p>
        </w:tc>
        <w:tc>
          <w:tcPr>
            <w:tcW w:w="1045" w:type="dxa"/>
            <w:vMerge w:val="continue"/>
          </w:tcPr>
          <w:p>
            <w:pPr>
              <w:adjustRightInd w:val="0"/>
              <w:snapToGrid w:val="0"/>
              <w:rPr>
                <w:rFonts w:ascii="宋体" w:hAnsi="宋体" w:eastAsia="宋体" w:cs="宋体"/>
                <w:color w:val="auto"/>
                <w:sz w:val="21"/>
                <w:szCs w:val="21"/>
              </w:rPr>
            </w:pPr>
          </w:p>
        </w:tc>
        <w:tc>
          <w:tcPr>
            <w:tcW w:w="1566" w:type="dxa"/>
            <w:vAlign w:val="center"/>
          </w:tcPr>
          <w:p>
            <w:pPr>
              <w:tabs>
                <w:tab w:val="left" w:pos="601"/>
              </w:tabs>
              <w:adjustRightInd w:val="0"/>
              <w:snapToGrid w:val="0"/>
              <w:rPr>
                <w:rFonts w:ascii="宋体" w:hAnsi="宋体" w:eastAsia="宋体" w:cs="宋体"/>
                <w:color w:val="auto"/>
                <w:kern w:val="0"/>
                <w:sz w:val="21"/>
                <w:szCs w:val="21"/>
              </w:rPr>
            </w:pPr>
            <w:r>
              <w:rPr>
                <w:rFonts w:hint="eastAsia" w:ascii="宋体" w:hAnsi="宋体" w:eastAsia="宋体" w:cs="宋体"/>
                <w:color w:val="auto"/>
                <w:kern w:val="0"/>
                <w:sz w:val="21"/>
                <w:szCs w:val="21"/>
              </w:rPr>
              <w:t>投标报价</w:t>
            </w:r>
          </w:p>
        </w:tc>
        <w:tc>
          <w:tcPr>
            <w:tcW w:w="6188" w:type="dxa"/>
            <w:vAlign w:val="center"/>
          </w:tcPr>
          <w:p>
            <w:pPr>
              <w:tabs>
                <w:tab w:val="left" w:pos="601"/>
              </w:tabs>
              <w:adjustRightInd w:val="0"/>
              <w:snapToGrid w:val="0"/>
              <w:ind w:firstLine="210" w:firstLineChars="100"/>
              <w:rPr>
                <w:rFonts w:ascii="宋体" w:hAnsi="宋体" w:eastAsia="宋体" w:cs="宋体"/>
                <w:color w:val="auto"/>
                <w:kern w:val="0"/>
                <w:sz w:val="21"/>
                <w:szCs w:val="21"/>
              </w:rPr>
            </w:pPr>
            <w:r>
              <w:rPr>
                <w:rFonts w:hint="eastAsia" w:ascii="宋体" w:hAnsi="宋体" w:eastAsia="宋体" w:cs="宋体"/>
                <w:color w:val="auto"/>
                <w:kern w:val="0"/>
                <w:sz w:val="21"/>
                <w:szCs w:val="21"/>
              </w:rPr>
              <w:t>投标总报价不得高于招标人公布的最高限价且符合第二章投标人须知前附表3.2条规定。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946" w:type="dxa"/>
            <w:vMerge w:val="continue"/>
          </w:tcPr>
          <w:p>
            <w:pPr>
              <w:adjustRightInd w:val="0"/>
              <w:snapToGrid w:val="0"/>
              <w:rPr>
                <w:rFonts w:ascii="宋体" w:hAnsi="宋体" w:eastAsia="宋体" w:cs="宋体"/>
                <w:color w:val="auto"/>
                <w:sz w:val="21"/>
                <w:szCs w:val="21"/>
              </w:rPr>
            </w:pPr>
          </w:p>
        </w:tc>
        <w:tc>
          <w:tcPr>
            <w:tcW w:w="1045" w:type="dxa"/>
            <w:vMerge w:val="continue"/>
          </w:tcPr>
          <w:p>
            <w:pPr>
              <w:adjustRightInd w:val="0"/>
              <w:snapToGrid w:val="0"/>
              <w:rPr>
                <w:rFonts w:ascii="宋体" w:hAnsi="宋体" w:eastAsia="宋体" w:cs="宋体"/>
                <w:color w:val="auto"/>
                <w:sz w:val="21"/>
                <w:szCs w:val="21"/>
              </w:rPr>
            </w:pPr>
          </w:p>
        </w:tc>
        <w:tc>
          <w:tcPr>
            <w:tcW w:w="1566" w:type="dxa"/>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权利义务</w:t>
            </w:r>
          </w:p>
        </w:tc>
        <w:tc>
          <w:tcPr>
            <w:tcW w:w="6188" w:type="dxa"/>
            <w:vAlign w:val="center"/>
          </w:tcPr>
          <w:p>
            <w:pPr>
              <w:adjustRightInd w:val="0"/>
              <w:snapToGrid w:val="0"/>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符合第四章“合同条款及格式”规定，投标文件不应附有招标人不能接受的条件。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946" w:type="dxa"/>
            <w:vMerge w:val="continue"/>
          </w:tcPr>
          <w:p>
            <w:pPr>
              <w:adjustRightInd w:val="0"/>
              <w:snapToGrid w:val="0"/>
              <w:rPr>
                <w:rFonts w:ascii="宋体" w:hAnsi="宋体" w:eastAsia="宋体" w:cs="宋体"/>
                <w:color w:val="auto"/>
                <w:sz w:val="21"/>
                <w:szCs w:val="21"/>
              </w:rPr>
            </w:pPr>
          </w:p>
        </w:tc>
        <w:tc>
          <w:tcPr>
            <w:tcW w:w="1045" w:type="dxa"/>
            <w:vMerge w:val="continue"/>
          </w:tcPr>
          <w:p>
            <w:pPr>
              <w:adjustRightInd w:val="0"/>
              <w:snapToGrid w:val="0"/>
              <w:rPr>
                <w:rFonts w:ascii="宋体" w:hAnsi="宋体" w:eastAsia="宋体" w:cs="宋体"/>
                <w:color w:val="auto"/>
                <w:sz w:val="21"/>
                <w:szCs w:val="21"/>
              </w:rPr>
            </w:pPr>
          </w:p>
        </w:tc>
        <w:tc>
          <w:tcPr>
            <w:tcW w:w="1566" w:type="dxa"/>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实质性要求</w:t>
            </w:r>
          </w:p>
        </w:tc>
        <w:tc>
          <w:tcPr>
            <w:tcW w:w="6188" w:type="dxa"/>
            <w:vAlign w:val="center"/>
          </w:tcPr>
          <w:p>
            <w:pPr>
              <w:adjustRightInd w:val="0"/>
              <w:snapToGrid w:val="0"/>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91" w:type="dxa"/>
            <w:gridSpan w:val="2"/>
            <w:vAlign w:val="center"/>
          </w:tcPr>
          <w:p>
            <w:pPr>
              <w:adjustRightInd w:val="0"/>
              <w:snapToGrid w:val="0"/>
              <w:jc w:val="center"/>
              <w:rPr>
                <w:rFonts w:ascii="宋体" w:hAnsi="宋体" w:eastAsia="宋体" w:cs="宋体"/>
                <w:b/>
                <w:color w:val="auto"/>
                <w:kern w:val="0"/>
                <w:sz w:val="21"/>
                <w:szCs w:val="21"/>
              </w:rPr>
            </w:pPr>
            <w:r>
              <w:rPr>
                <w:rFonts w:hint="eastAsia" w:ascii="宋体" w:hAnsi="宋体" w:eastAsia="宋体" w:cs="宋体"/>
                <w:b/>
                <w:color w:val="auto"/>
                <w:kern w:val="0"/>
                <w:sz w:val="21"/>
                <w:szCs w:val="21"/>
              </w:rPr>
              <w:t>条款号</w:t>
            </w:r>
          </w:p>
        </w:tc>
        <w:tc>
          <w:tcPr>
            <w:tcW w:w="1566" w:type="dxa"/>
            <w:vAlign w:val="center"/>
          </w:tcPr>
          <w:p>
            <w:pPr>
              <w:adjustRightInd w:val="0"/>
              <w:snapToGrid w:val="0"/>
              <w:jc w:val="center"/>
              <w:rPr>
                <w:rFonts w:ascii="宋体" w:hAnsi="宋体" w:eastAsia="宋体" w:cs="宋体"/>
                <w:b/>
                <w:color w:val="auto"/>
                <w:kern w:val="0"/>
                <w:sz w:val="21"/>
                <w:szCs w:val="21"/>
              </w:rPr>
            </w:pPr>
            <w:r>
              <w:rPr>
                <w:rFonts w:hint="eastAsia" w:ascii="宋体" w:hAnsi="宋体" w:eastAsia="宋体" w:cs="宋体"/>
                <w:b/>
                <w:color w:val="auto"/>
                <w:kern w:val="0"/>
                <w:sz w:val="21"/>
                <w:szCs w:val="21"/>
              </w:rPr>
              <w:t>条款内容</w:t>
            </w:r>
          </w:p>
        </w:tc>
        <w:tc>
          <w:tcPr>
            <w:tcW w:w="6188" w:type="dxa"/>
            <w:vAlign w:val="center"/>
          </w:tcPr>
          <w:p>
            <w:pPr>
              <w:adjustRightInd w:val="0"/>
              <w:snapToGrid w:val="0"/>
              <w:jc w:val="center"/>
              <w:rPr>
                <w:rFonts w:ascii="宋体" w:hAnsi="宋体" w:eastAsia="宋体" w:cs="宋体"/>
                <w:b/>
                <w:color w:val="auto"/>
                <w:kern w:val="0"/>
                <w:sz w:val="21"/>
                <w:szCs w:val="21"/>
              </w:rPr>
            </w:pPr>
            <w:r>
              <w:rPr>
                <w:rFonts w:hint="eastAsia" w:ascii="宋体" w:hAnsi="宋体" w:eastAsia="宋体" w:cs="宋体"/>
                <w:b/>
                <w:color w:val="auto"/>
                <w:kern w:val="0"/>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991" w:type="dxa"/>
            <w:gridSpan w:val="2"/>
            <w:vAlign w:val="center"/>
          </w:tcPr>
          <w:p>
            <w:pPr>
              <w:adjustRightInd w:val="0"/>
              <w:snapToGrid w:val="0"/>
              <w:ind w:firstLine="210" w:firstLineChars="10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2.2.1</w:t>
            </w:r>
          </w:p>
        </w:tc>
        <w:tc>
          <w:tcPr>
            <w:tcW w:w="1566" w:type="dxa"/>
            <w:vAlign w:val="center"/>
          </w:tcPr>
          <w:p>
            <w:pPr>
              <w:tabs>
                <w:tab w:val="left" w:pos="1875"/>
              </w:tabs>
              <w:adjustRightInd w:val="0"/>
              <w:snapToGrid w:val="0"/>
              <w:rPr>
                <w:rFonts w:ascii="宋体" w:hAnsi="宋体" w:eastAsia="宋体" w:cs="宋体"/>
                <w:color w:val="auto"/>
                <w:kern w:val="0"/>
                <w:sz w:val="21"/>
                <w:szCs w:val="21"/>
              </w:rPr>
            </w:pPr>
            <w:r>
              <w:rPr>
                <w:rFonts w:hint="eastAsia" w:ascii="宋体" w:hAnsi="宋体" w:eastAsia="宋体" w:cs="宋体"/>
                <w:color w:val="auto"/>
                <w:kern w:val="0"/>
                <w:sz w:val="21"/>
                <w:szCs w:val="21"/>
              </w:rPr>
              <w:t>分值构成（总分100分）</w:t>
            </w:r>
          </w:p>
        </w:tc>
        <w:tc>
          <w:tcPr>
            <w:tcW w:w="6188" w:type="dxa"/>
            <w:vAlign w:val="center"/>
          </w:tcPr>
          <w:p>
            <w:pPr>
              <w:pStyle w:val="150"/>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1、报价部分</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0分；</w:t>
            </w:r>
          </w:p>
          <w:p>
            <w:pPr>
              <w:pStyle w:val="150"/>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2、商务部分</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0分；</w:t>
            </w:r>
          </w:p>
          <w:p>
            <w:pPr>
              <w:pStyle w:val="150"/>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3、技术部分</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991" w:type="dxa"/>
            <w:gridSpan w:val="2"/>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2.2.2</w:t>
            </w:r>
          </w:p>
        </w:tc>
        <w:tc>
          <w:tcPr>
            <w:tcW w:w="1566" w:type="dxa"/>
            <w:vAlign w:val="center"/>
          </w:tcPr>
          <w:p>
            <w:pPr>
              <w:adjustRightInd w:val="0"/>
              <w:snapToGrid w:val="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评标基准价</w:t>
            </w:r>
          </w:p>
          <w:p>
            <w:pPr>
              <w:autoSpaceDE w:val="0"/>
              <w:autoSpaceDN w:val="0"/>
              <w:adjustRightInd w:val="0"/>
              <w:snapToGrid w:val="0"/>
              <w:jc w:val="center"/>
              <w:rPr>
                <w:rFonts w:ascii="宋体" w:hAnsi="宋体" w:eastAsia="宋体" w:cs="宋体"/>
                <w:color w:val="auto"/>
                <w:sz w:val="21"/>
                <w:szCs w:val="21"/>
              </w:rPr>
            </w:pPr>
            <w:r>
              <w:rPr>
                <w:rFonts w:hint="eastAsia" w:ascii="宋体" w:hAnsi="宋体" w:eastAsia="宋体" w:cs="宋体"/>
                <w:color w:val="auto"/>
                <w:kern w:val="0"/>
                <w:sz w:val="21"/>
                <w:szCs w:val="21"/>
              </w:rPr>
              <w:t>计算方法</w:t>
            </w:r>
          </w:p>
        </w:tc>
        <w:tc>
          <w:tcPr>
            <w:tcW w:w="6188" w:type="dxa"/>
            <w:vAlign w:val="center"/>
          </w:tcPr>
          <w:p>
            <w:pPr>
              <w:adjustRightInd w:val="0"/>
              <w:snapToGrid w:val="0"/>
              <w:ind w:firstLine="420" w:firstLineChars="200"/>
              <w:rPr>
                <w:rFonts w:ascii="宋体" w:hAnsi="宋体" w:eastAsia="宋体" w:cs="宋体"/>
                <w:color w:val="auto"/>
                <w:kern w:val="0"/>
                <w:sz w:val="21"/>
                <w:szCs w:val="21"/>
              </w:rPr>
            </w:pPr>
            <w:r>
              <w:rPr>
                <w:rFonts w:ascii="宋体" w:hAnsi="宋体" w:eastAsia="宋体" w:cs="宋体"/>
                <w:color w:val="auto"/>
                <w:kern w:val="0"/>
                <w:sz w:val="21"/>
                <w:szCs w:val="21"/>
              </w:rPr>
              <w:t>所有通过初步评审合格的投标人的投标总报价中去掉六分之一（不能整除的按小数点前整数取整，不足六家报价则不去掉）的最低价和相同家数的最高价后的算术平均值</w:t>
            </w:r>
            <w:r>
              <w:rPr>
                <w:rFonts w:hint="eastAsia" w:ascii="宋体" w:hAnsi="宋体" w:eastAsia="宋体" w:cs="宋体"/>
                <w:color w:val="auto"/>
                <w:kern w:val="0"/>
                <w:sz w:val="21"/>
                <w:szCs w:val="21"/>
              </w:rPr>
              <w:t>，即为本项目的投标总报价的评标基准价。</w:t>
            </w:r>
          </w:p>
          <w:p>
            <w:pPr>
              <w:adjustRightInd w:val="0"/>
              <w:snapToGrid w:val="0"/>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评标基准价计算的最终</w:t>
            </w:r>
            <w:r>
              <w:rPr>
                <w:rFonts w:ascii="宋体" w:hAnsi="宋体" w:eastAsia="宋体" w:cs="宋体"/>
                <w:color w:val="auto"/>
                <w:kern w:val="0"/>
                <w:sz w:val="21"/>
                <w:szCs w:val="21"/>
              </w:rPr>
              <w:t>结果取小数点后两位，第三位四舍五入。</w:t>
            </w:r>
          </w:p>
          <w:p>
            <w:pPr>
              <w:adjustRightInd w:val="0"/>
              <w:snapToGrid w:val="0"/>
              <w:ind w:firstLine="420" w:firstLineChars="200"/>
              <w:rPr>
                <w:rFonts w:ascii="宋体" w:hAnsi="宋体" w:eastAsia="宋体" w:cs="宋体"/>
                <w:color w:val="auto"/>
                <w:kern w:val="0"/>
                <w:sz w:val="21"/>
                <w:szCs w:val="21"/>
              </w:rPr>
            </w:pPr>
            <w:r>
              <w:rPr>
                <w:rFonts w:ascii="宋体" w:hAnsi="宋体" w:eastAsia="宋体" w:cs="宋体"/>
                <w:color w:val="auto"/>
                <w:kern w:val="0"/>
                <w:sz w:val="21"/>
                <w:szCs w:val="21"/>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946" w:type="dxa"/>
            <w:vAlign w:val="center"/>
          </w:tcPr>
          <w:p>
            <w:pPr>
              <w:adjustRightInd w:val="0"/>
              <w:snapToGrid w:val="0"/>
              <w:ind w:leftChars="-1" w:hanging="2" w:hangingChars="1"/>
              <w:jc w:val="center"/>
              <w:rPr>
                <w:rFonts w:ascii="宋体" w:hAnsi="宋体" w:eastAsia="宋体" w:cs="宋体"/>
                <w:color w:val="auto"/>
                <w:sz w:val="21"/>
                <w:szCs w:val="21"/>
              </w:rPr>
            </w:pPr>
            <w:r>
              <w:rPr>
                <w:rFonts w:hint="eastAsia" w:ascii="宋体" w:hAnsi="宋体" w:eastAsia="宋体" w:cs="宋体"/>
                <w:color w:val="auto"/>
                <w:sz w:val="21"/>
                <w:szCs w:val="21"/>
              </w:rPr>
              <w:t>3.2.1</w:t>
            </w:r>
          </w:p>
          <w:p>
            <w:pPr>
              <w:adjustRightInd w:val="0"/>
              <w:snapToGrid w:val="0"/>
              <w:ind w:leftChars="-1" w:hanging="2" w:hangingChars="1"/>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045" w:type="dxa"/>
            <w:vAlign w:val="center"/>
          </w:tcPr>
          <w:p>
            <w:pPr>
              <w:adjustRightInd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投标</w:t>
            </w:r>
          </w:p>
          <w:p>
            <w:pPr>
              <w:adjustRightInd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报价（A）</w:t>
            </w:r>
          </w:p>
          <w:p>
            <w:pPr>
              <w:adjustRightInd w:val="0"/>
              <w:snapToGrid w:val="0"/>
              <w:jc w:val="center"/>
              <w:rPr>
                <w:rFonts w:ascii="宋体" w:hAnsi="宋体" w:eastAsia="宋体" w:cs="宋体"/>
                <w:color w:val="auto"/>
                <w:spacing w:val="-20"/>
                <w:sz w:val="21"/>
                <w:szCs w:val="21"/>
              </w:rPr>
            </w:pPr>
          </w:p>
        </w:tc>
        <w:tc>
          <w:tcPr>
            <w:tcW w:w="1566" w:type="dxa"/>
            <w:vAlign w:val="center"/>
          </w:tcPr>
          <w:p>
            <w:pPr>
              <w:adjustRightInd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投标总报价（0-</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0分）</w:t>
            </w:r>
          </w:p>
        </w:tc>
        <w:tc>
          <w:tcPr>
            <w:tcW w:w="6188"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 xml:space="preserve">    所有通过初步评审的有效投标文件的投标总报价与评标基准价相等的得满分</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0分。在此基础上，投标总报价与评标基准价相比，每增加1%扣0.2分，每减少1%扣0.1分，扣完为止。</w:t>
            </w:r>
          </w:p>
          <w:p>
            <w:pPr>
              <w:rPr>
                <w:rFonts w:ascii="宋体" w:hAnsi="宋体" w:eastAsia="宋体" w:cs="宋体"/>
                <w:color w:val="auto"/>
                <w:sz w:val="21"/>
                <w:szCs w:val="21"/>
              </w:rPr>
            </w:pPr>
            <w:r>
              <w:rPr>
                <w:rFonts w:hint="eastAsia" w:ascii="宋体" w:hAnsi="宋体" w:eastAsia="宋体" w:cs="宋体"/>
                <w:color w:val="auto"/>
                <w:sz w:val="21"/>
                <w:szCs w:val="21"/>
              </w:rPr>
              <w:t>按插入法计算得分。</w:t>
            </w:r>
          </w:p>
          <w:p>
            <w:pPr>
              <w:rPr>
                <w:rFonts w:ascii="宋体" w:hAnsi="宋体" w:eastAsia="宋体" w:cs="宋体"/>
                <w:color w:val="auto"/>
                <w:sz w:val="21"/>
                <w:szCs w:val="21"/>
              </w:rPr>
            </w:pPr>
            <w:r>
              <w:rPr>
                <w:rFonts w:hint="eastAsia" w:ascii="宋体" w:hAnsi="宋体" w:eastAsia="宋体" w:cs="宋体"/>
                <w:color w:val="auto"/>
                <w:sz w:val="21"/>
                <w:szCs w:val="21"/>
              </w:rPr>
              <w:t>以上计算得分取小数点后两位，第三位四舍五入。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46" w:type="dxa"/>
            <w:vMerge w:val="restart"/>
            <w:vAlign w:val="center"/>
          </w:tcPr>
          <w:p>
            <w:pPr>
              <w:adjustRightInd w:val="0"/>
              <w:snapToGrid w:val="0"/>
              <w:jc w:val="both"/>
              <w:rPr>
                <w:rFonts w:ascii="宋体" w:hAnsi="宋体" w:eastAsia="宋体" w:cs="宋体"/>
                <w:color w:val="auto"/>
                <w:sz w:val="21"/>
                <w:szCs w:val="21"/>
              </w:rPr>
            </w:pPr>
            <w:r>
              <w:rPr>
                <w:rFonts w:hint="eastAsia" w:ascii="宋体" w:hAnsi="宋体" w:eastAsia="宋体" w:cs="宋体"/>
                <w:color w:val="auto"/>
                <w:sz w:val="21"/>
                <w:szCs w:val="21"/>
              </w:rPr>
              <w:t>3.2.1</w:t>
            </w:r>
          </w:p>
          <w:p>
            <w:pPr>
              <w:adjustRightInd w:val="0"/>
              <w:snapToGrid w:val="0"/>
              <w:ind w:leftChars="-1" w:hanging="2" w:hangingChars="1"/>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045" w:type="dxa"/>
            <w:vMerge w:val="restart"/>
            <w:vAlign w:val="center"/>
          </w:tcPr>
          <w:p>
            <w:pPr>
              <w:adjustRightInd w:val="0"/>
              <w:snapToGrid w:val="0"/>
              <w:jc w:val="both"/>
              <w:rPr>
                <w:rFonts w:ascii="宋体" w:hAnsi="宋体" w:eastAsia="宋体" w:cs="宋体"/>
                <w:color w:val="auto"/>
                <w:sz w:val="21"/>
                <w:szCs w:val="21"/>
              </w:rPr>
            </w:pPr>
            <w:r>
              <w:rPr>
                <w:rFonts w:hint="eastAsia" w:ascii="宋体" w:hAnsi="宋体" w:eastAsia="宋体" w:cs="宋体"/>
                <w:color w:val="auto"/>
                <w:sz w:val="21"/>
                <w:szCs w:val="21"/>
              </w:rPr>
              <w:t>技术部分</w:t>
            </w:r>
          </w:p>
          <w:p>
            <w:pPr>
              <w:adjustRightInd w:val="0"/>
              <w:snapToGrid w:val="0"/>
              <w:jc w:val="center"/>
              <w:rPr>
                <w:rFonts w:ascii="宋体" w:hAnsi="宋体" w:eastAsia="宋体" w:cs="宋体"/>
                <w:color w:val="auto"/>
                <w:spacing w:val="-22"/>
                <w:sz w:val="21"/>
                <w:szCs w:val="21"/>
              </w:rPr>
            </w:pPr>
            <w:r>
              <w:rPr>
                <w:rFonts w:hint="eastAsia" w:ascii="宋体" w:hAnsi="宋体" w:eastAsia="宋体" w:cs="宋体"/>
                <w:color w:val="auto"/>
                <w:spacing w:val="-22"/>
                <w:sz w:val="21"/>
                <w:szCs w:val="21"/>
              </w:rPr>
              <w:t>(B)</w:t>
            </w:r>
          </w:p>
        </w:tc>
        <w:tc>
          <w:tcPr>
            <w:tcW w:w="1566"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lang w:val="en-US" w:eastAsia="zh-CN"/>
              </w:rPr>
              <w:t>项目理解方案</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188" w:type="dxa"/>
            <w:vAlign w:val="center"/>
          </w:tcPr>
          <w:p>
            <w:pPr>
              <w:ind w:firstLine="630" w:firstLineChars="300"/>
              <w:rPr>
                <w:rFonts w:hint="default" w:ascii="宋体" w:hAnsi="宋体" w:eastAsia="宋体" w:cs="宋体"/>
                <w:color w:val="auto"/>
                <w:sz w:val="22"/>
                <w:szCs w:val="22"/>
                <w:lang w:val="en-US"/>
              </w:rPr>
            </w:pPr>
            <w:r>
              <w:rPr>
                <w:rFonts w:hint="eastAsia" w:ascii="宋体" w:hAnsi="宋体" w:eastAsia="宋体" w:cs="宋体"/>
                <w:sz w:val="21"/>
                <w:szCs w:val="21"/>
              </w:rPr>
              <w:t>项目理解方案：对项目的理解和建设条件的认识</w:t>
            </w:r>
            <w:r>
              <w:rPr>
                <w:rFonts w:hint="eastAsia" w:ascii="宋体" w:hAnsi="宋体" w:eastAsia="宋体" w:cs="宋体"/>
                <w:sz w:val="21"/>
                <w:szCs w:val="21"/>
              </w:rPr>
              <w:br w:type="textWrapping"/>
            </w:r>
            <w:r>
              <w:rPr>
                <w:rFonts w:hint="eastAsia" w:ascii="宋体" w:hAnsi="宋体" w:eastAsia="宋体" w:cs="宋体"/>
                <w:sz w:val="21"/>
                <w:szCs w:val="21"/>
              </w:rPr>
              <w:t>优（5分）</w:t>
            </w:r>
            <w:r>
              <w:rPr>
                <w:rFonts w:hint="eastAsia" w:ascii="宋体" w:hAnsi="宋体" w:eastAsia="宋体" w:cs="宋体"/>
                <w:sz w:val="21"/>
                <w:szCs w:val="21"/>
                <w:lang w:eastAsia="zh-CN"/>
              </w:rPr>
              <w:t>：</w:t>
            </w:r>
            <w:r>
              <w:rPr>
                <w:rFonts w:hint="eastAsia" w:ascii="宋体" w:hAnsi="宋体" w:eastAsia="宋体" w:cs="宋体"/>
                <w:sz w:val="21"/>
                <w:szCs w:val="21"/>
              </w:rPr>
              <w:t>能够充分理解对项目背景、建设条件、建设模式及思路等，分析理解全面，贴合采购人实际工作需求。</w:t>
            </w:r>
            <w:r>
              <w:rPr>
                <w:rFonts w:hint="eastAsia" w:ascii="宋体" w:hAnsi="宋体" w:eastAsia="宋体" w:cs="宋体"/>
                <w:sz w:val="21"/>
                <w:szCs w:val="21"/>
              </w:rPr>
              <w:br w:type="textWrapping"/>
            </w:r>
            <w:r>
              <w:rPr>
                <w:rFonts w:hint="eastAsia" w:ascii="宋体" w:hAnsi="宋体" w:eastAsia="宋体" w:cs="宋体"/>
                <w:sz w:val="21"/>
                <w:szCs w:val="21"/>
              </w:rPr>
              <w:t>良（3分）：对项目背景、建设条件、建设模式及思路等理解精准完整，分析理解较全面，较符合采购人实际工作需求；</w:t>
            </w:r>
            <w:r>
              <w:rPr>
                <w:rFonts w:hint="eastAsia" w:ascii="宋体" w:hAnsi="宋体" w:eastAsia="宋体" w:cs="宋体"/>
                <w:sz w:val="21"/>
                <w:szCs w:val="21"/>
              </w:rPr>
              <w:br w:type="textWrapping"/>
            </w:r>
            <w:r>
              <w:rPr>
                <w:rFonts w:hint="eastAsia" w:ascii="宋体" w:hAnsi="宋体" w:eastAsia="宋体" w:cs="宋体"/>
                <w:sz w:val="21"/>
                <w:szCs w:val="21"/>
              </w:rPr>
              <w:t>差（1分）：对项目背景、建设条件、建设模式及思路等理解一般，分析理解一般，基本符合采购人实际工作需求；</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不提供</w:t>
            </w:r>
            <w:r>
              <w:rPr>
                <w:rFonts w:hint="eastAsia" w:ascii="宋体" w:hAnsi="宋体" w:eastAsia="宋体" w:cs="宋体"/>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46" w:type="dxa"/>
            <w:vMerge w:val="continue"/>
            <w:vAlign w:val="center"/>
          </w:tcPr>
          <w:p>
            <w:pPr>
              <w:adjustRightInd w:val="0"/>
              <w:snapToGrid w:val="0"/>
              <w:ind w:leftChars="-1" w:hanging="2" w:hangingChars="1"/>
              <w:jc w:val="center"/>
              <w:rPr>
                <w:rFonts w:hint="eastAsia" w:ascii="宋体" w:hAnsi="宋体" w:eastAsia="宋体" w:cs="宋体"/>
                <w:color w:val="auto"/>
                <w:sz w:val="21"/>
                <w:szCs w:val="21"/>
              </w:rPr>
            </w:pPr>
          </w:p>
        </w:tc>
        <w:tc>
          <w:tcPr>
            <w:tcW w:w="1045" w:type="dxa"/>
            <w:vMerge w:val="continue"/>
            <w:vAlign w:val="center"/>
          </w:tcPr>
          <w:p>
            <w:pPr>
              <w:adjustRightInd w:val="0"/>
              <w:snapToGrid w:val="0"/>
              <w:jc w:val="center"/>
              <w:rPr>
                <w:rFonts w:hint="eastAsia" w:ascii="宋体" w:hAnsi="宋体" w:eastAsia="宋体" w:cs="宋体"/>
                <w:color w:val="auto"/>
                <w:spacing w:val="-22"/>
                <w:sz w:val="21"/>
                <w:szCs w:val="21"/>
              </w:rPr>
            </w:pPr>
          </w:p>
        </w:tc>
        <w:tc>
          <w:tcPr>
            <w:tcW w:w="1566"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人员管理方案（0-5分）</w:t>
            </w:r>
          </w:p>
        </w:tc>
        <w:tc>
          <w:tcPr>
            <w:tcW w:w="6188" w:type="dxa"/>
            <w:vAlign w:val="center"/>
          </w:tcPr>
          <w:p>
            <w:pPr>
              <w:ind w:firstLine="630" w:firstLineChars="300"/>
              <w:rPr>
                <w:rFonts w:hint="eastAsia" w:ascii="宋体" w:hAnsi="宋体" w:eastAsia="宋体" w:cs="宋体"/>
                <w:color w:val="auto"/>
                <w:sz w:val="22"/>
                <w:szCs w:val="22"/>
                <w:lang w:val="en-US" w:eastAsia="zh-CN"/>
              </w:rPr>
            </w:pPr>
            <w:r>
              <w:rPr>
                <w:rFonts w:hint="eastAsia" w:ascii="宋体" w:hAnsi="宋体" w:eastAsia="宋体" w:cs="宋体"/>
                <w:sz w:val="21"/>
                <w:szCs w:val="21"/>
              </w:rPr>
              <w:t>提供人员管理方案：包含人员组织架构、人员招聘、人员培训、人员管理规范、激励体系、团队文化等方面进行阐述。</w:t>
            </w:r>
            <w:r>
              <w:rPr>
                <w:rFonts w:hint="eastAsia" w:ascii="宋体" w:hAnsi="宋体" w:eastAsia="宋体" w:cs="宋体"/>
                <w:sz w:val="21"/>
                <w:szCs w:val="21"/>
              </w:rPr>
              <w:br w:type="textWrapping"/>
            </w:r>
            <w:r>
              <w:rPr>
                <w:rFonts w:hint="eastAsia" w:ascii="宋体" w:hAnsi="宋体" w:eastAsia="宋体" w:cs="宋体"/>
                <w:sz w:val="21"/>
                <w:szCs w:val="21"/>
              </w:rPr>
              <w:t>优（5分）</w:t>
            </w:r>
            <w:r>
              <w:rPr>
                <w:rFonts w:hint="eastAsia" w:ascii="宋体" w:hAnsi="宋体" w:eastAsia="宋体" w:cs="宋体"/>
                <w:sz w:val="21"/>
                <w:szCs w:val="21"/>
                <w:lang w:eastAsia="zh-CN"/>
              </w:rPr>
              <w:t>：</w:t>
            </w:r>
            <w:r>
              <w:rPr>
                <w:rFonts w:hint="eastAsia" w:ascii="宋体" w:hAnsi="宋体" w:eastAsia="宋体" w:cs="宋体"/>
                <w:sz w:val="21"/>
                <w:szCs w:val="21"/>
              </w:rPr>
              <w:t>对本项目提出的人员管理方案整体结构流程清晰详实、内容专业、标准规范，与项目需求契合度高，贴合采购人实际工作需求。</w:t>
            </w:r>
            <w:r>
              <w:rPr>
                <w:rFonts w:hint="eastAsia" w:ascii="宋体" w:hAnsi="宋体" w:eastAsia="宋体" w:cs="宋体"/>
                <w:sz w:val="21"/>
                <w:szCs w:val="21"/>
              </w:rPr>
              <w:br w:type="textWrapping"/>
            </w:r>
            <w:r>
              <w:rPr>
                <w:rFonts w:hint="eastAsia" w:ascii="宋体" w:hAnsi="宋体" w:eastAsia="宋体" w:cs="宋体"/>
                <w:sz w:val="21"/>
                <w:szCs w:val="21"/>
              </w:rPr>
              <w:t>良（3分）：对本项目提出的人员管理方案整体结构流程正确、内容合理可行，与项目需求契合，较符合采购人实际工作需求。</w:t>
            </w:r>
            <w:r>
              <w:rPr>
                <w:rFonts w:hint="eastAsia" w:ascii="宋体" w:hAnsi="宋体" w:eastAsia="宋体" w:cs="宋体"/>
                <w:sz w:val="21"/>
                <w:szCs w:val="21"/>
              </w:rPr>
              <w:br w:type="textWrapping"/>
            </w:r>
            <w:r>
              <w:rPr>
                <w:rFonts w:hint="eastAsia" w:ascii="宋体" w:hAnsi="宋体" w:eastAsia="宋体" w:cs="宋体"/>
                <w:sz w:val="21"/>
                <w:szCs w:val="21"/>
              </w:rPr>
              <w:t>差（1分）：对本项目提出的人员管理方案整体结构流程基本清晰、内容合理可行，与项目需求基本契合，符合采购人实际工作需求。</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不提供</w:t>
            </w:r>
            <w:r>
              <w:rPr>
                <w:rFonts w:hint="eastAsia" w:ascii="宋体" w:hAnsi="宋体" w:eastAsia="宋体" w:cs="宋体"/>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46" w:type="dxa"/>
            <w:vMerge w:val="continue"/>
            <w:vAlign w:val="center"/>
          </w:tcPr>
          <w:p>
            <w:pPr>
              <w:adjustRightInd w:val="0"/>
              <w:snapToGrid w:val="0"/>
              <w:ind w:leftChars="-1" w:hanging="2" w:hangingChars="1"/>
              <w:jc w:val="center"/>
              <w:rPr>
                <w:rFonts w:hint="eastAsia" w:ascii="宋体" w:hAnsi="宋体" w:eastAsia="宋体" w:cs="宋体"/>
                <w:color w:val="auto"/>
                <w:sz w:val="21"/>
                <w:szCs w:val="21"/>
              </w:rPr>
            </w:pPr>
          </w:p>
        </w:tc>
        <w:tc>
          <w:tcPr>
            <w:tcW w:w="1045" w:type="dxa"/>
            <w:vMerge w:val="continue"/>
            <w:vAlign w:val="center"/>
          </w:tcPr>
          <w:p>
            <w:pPr>
              <w:adjustRightInd w:val="0"/>
              <w:snapToGrid w:val="0"/>
              <w:jc w:val="center"/>
              <w:rPr>
                <w:rFonts w:hint="eastAsia" w:ascii="宋体" w:hAnsi="宋体" w:eastAsia="宋体" w:cs="宋体"/>
                <w:color w:val="auto"/>
                <w:spacing w:val="-22"/>
                <w:sz w:val="21"/>
                <w:szCs w:val="21"/>
              </w:rPr>
            </w:pPr>
          </w:p>
        </w:tc>
        <w:tc>
          <w:tcPr>
            <w:tcW w:w="1566"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应急方案</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（0-5分）</w:t>
            </w:r>
          </w:p>
        </w:tc>
        <w:tc>
          <w:tcPr>
            <w:tcW w:w="6188" w:type="dxa"/>
            <w:vAlign w:val="center"/>
          </w:tcPr>
          <w:p>
            <w:pPr>
              <w:ind w:firstLine="630" w:firstLineChars="300"/>
              <w:rPr>
                <w:rFonts w:hint="eastAsia" w:ascii="宋体" w:hAnsi="宋体" w:eastAsia="宋体" w:cs="宋体"/>
                <w:color w:val="auto"/>
                <w:sz w:val="22"/>
                <w:szCs w:val="22"/>
                <w:lang w:val="en-US" w:eastAsia="zh-CN"/>
              </w:rPr>
            </w:pPr>
            <w:r>
              <w:rPr>
                <w:rFonts w:hint="eastAsia" w:ascii="宋体" w:hAnsi="宋体" w:eastAsia="宋体" w:cs="宋体"/>
                <w:sz w:val="21"/>
                <w:szCs w:val="21"/>
              </w:rPr>
              <w:t>应急方案：日常应急、话务应急、系统应急、场地应急等方面进行阐述。</w:t>
            </w:r>
            <w:r>
              <w:rPr>
                <w:rFonts w:hint="eastAsia" w:ascii="宋体" w:hAnsi="宋体" w:eastAsia="宋体" w:cs="宋体"/>
                <w:sz w:val="21"/>
                <w:szCs w:val="21"/>
              </w:rPr>
              <w:br w:type="textWrapping"/>
            </w:r>
            <w:r>
              <w:rPr>
                <w:rFonts w:hint="eastAsia" w:ascii="宋体" w:hAnsi="宋体" w:eastAsia="宋体" w:cs="宋体"/>
                <w:sz w:val="21"/>
                <w:szCs w:val="21"/>
              </w:rPr>
              <w:t>优（5分）：应急方案科学合理、针对性强，完全贴合实际工作需求，能有效保障服务工作的顺利进行。</w:t>
            </w:r>
            <w:r>
              <w:rPr>
                <w:rFonts w:hint="eastAsia" w:ascii="宋体" w:hAnsi="宋体" w:eastAsia="宋体" w:cs="宋体"/>
                <w:sz w:val="21"/>
                <w:szCs w:val="21"/>
              </w:rPr>
              <w:br w:type="textWrapping"/>
            </w:r>
            <w:r>
              <w:rPr>
                <w:rFonts w:hint="eastAsia" w:ascii="宋体" w:hAnsi="宋体" w:eastAsia="宋体" w:cs="宋体"/>
                <w:sz w:val="21"/>
                <w:szCs w:val="21"/>
              </w:rPr>
              <w:t>良（3分）：应急方案合理可行、具有针对性，较为符合实际工作需求，可保障服务工作的顺利进行。</w:t>
            </w:r>
            <w:r>
              <w:rPr>
                <w:rFonts w:hint="eastAsia" w:ascii="宋体" w:hAnsi="宋体" w:eastAsia="宋体" w:cs="宋体"/>
                <w:sz w:val="21"/>
                <w:szCs w:val="21"/>
              </w:rPr>
              <w:br w:type="textWrapping"/>
            </w:r>
            <w:r>
              <w:rPr>
                <w:rFonts w:hint="eastAsia" w:ascii="宋体" w:hAnsi="宋体" w:eastAsia="宋体" w:cs="宋体"/>
                <w:sz w:val="21"/>
                <w:szCs w:val="21"/>
              </w:rPr>
              <w:t>差（1分）：应急方案基本合理、有一定针对性，基本符合实际工作需求，可保障服务工作的顺利进行。</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不提供</w:t>
            </w:r>
            <w:r>
              <w:rPr>
                <w:rFonts w:hint="eastAsia" w:ascii="宋体" w:hAnsi="宋体" w:eastAsia="宋体" w:cs="宋体"/>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46" w:type="dxa"/>
            <w:vMerge w:val="continue"/>
            <w:vAlign w:val="center"/>
          </w:tcPr>
          <w:p>
            <w:pPr>
              <w:adjustRightInd w:val="0"/>
              <w:snapToGrid w:val="0"/>
              <w:ind w:leftChars="-1" w:hanging="2" w:hangingChars="1"/>
              <w:jc w:val="center"/>
              <w:rPr>
                <w:rFonts w:ascii="宋体" w:hAnsi="宋体" w:eastAsia="宋体" w:cs="宋体"/>
                <w:color w:val="auto"/>
                <w:sz w:val="21"/>
                <w:szCs w:val="21"/>
              </w:rPr>
            </w:pPr>
          </w:p>
        </w:tc>
        <w:tc>
          <w:tcPr>
            <w:tcW w:w="1045" w:type="dxa"/>
            <w:vMerge w:val="continue"/>
            <w:vAlign w:val="center"/>
          </w:tcPr>
          <w:p>
            <w:pPr>
              <w:adjustRightInd w:val="0"/>
              <w:snapToGrid w:val="0"/>
              <w:jc w:val="center"/>
              <w:rPr>
                <w:rFonts w:ascii="宋体" w:hAnsi="宋体" w:eastAsia="宋体" w:cs="宋体"/>
                <w:color w:val="auto"/>
                <w:sz w:val="21"/>
                <w:szCs w:val="21"/>
              </w:rPr>
            </w:pPr>
          </w:p>
        </w:tc>
        <w:tc>
          <w:tcPr>
            <w:tcW w:w="1566"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lang w:val="en-US" w:eastAsia="zh-CN"/>
              </w:rPr>
              <w:t>日常管理方案（0-5分）</w:t>
            </w:r>
          </w:p>
        </w:tc>
        <w:tc>
          <w:tcPr>
            <w:tcW w:w="6188" w:type="dxa"/>
            <w:vAlign w:val="center"/>
          </w:tcPr>
          <w:p>
            <w:pPr>
              <w:ind w:firstLine="630" w:firstLineChars="300"/>
              <w:rPr>
                <w:rFonts w:ascii="宋体" w:hAnsi="宋体" w:eastAsia="宋体" w:cs="宋体"/>
                <w:color w:val="auto"/>
                <w:sz w:val="21"/>
                <w:szCs w:val="21"/>
              </w:rPr>
            </w:pPr>
            <w:r>
              <w:rPr>
                <w:rFonts w:hint="eastAsia" w:ascii="宋体" w:hAnsi="宋体" w:eastAsia="宋体" w:cs="宋体"/>
                <w:sz w:val="21"/>
                <w:szCs w:val="21"/>
              </w:rPr>
              <w:t>日常管理方案：排班管理、考勤管理、话务现场管理、环境管理、信息安全管理等方面阐述。</w:t>
            </w:r>
            <w:r>
              <w:rPr>
                <w:rFonts w:hint="eastAsia" w:ascii="宋体" w:hAnsi="宋体" w:eastAsia="宋体" w:cs="宋体"/>
                <w:sz w:val="21"/>
                <w:szCs w:val="21"/>
              </w:rPr>
              <w:br w:type="textWrapping"/>
            </w:r>
            <w:r>
              <w:rPr>
                <w:rFonts w:hint="eastAsia" w:ascii="宋体" w:hAnsi="宋体" w:eastAsia="宋体" w:cs="宋体"/>
                <w:sz w:val="21"/>
                <w:szCs w:val="21"/>
              </w:rPr>
              <w:t>优（5分）：日常管理方案科学合理、针对性强，完全满足实际工作需求，能有效保障服务工作的顺利进行。</w:t>
            </w:r>
            <w:r>
              <w:rPr>
                <w:rFonts w:hint="eastAsia" w:ascii="宋体" w:hAnsi="宋体" w:eastAsia="宋体" w:cs="宋体"/>
                <w:sz w:val="21"/>
                <w:szCs w:val="21"/>
              </w:rPr>
              <w:br w:type="textWrapping"/>
            </w:r>
            <w:r>
              <w:rPr>
                <w:rFonts w:hint="eastAsia" w:ascii="宋体" w:hAnsi="宋体" w:eastAsia="宋体" w:cs="宋体"/>
                <w:sz w:val="21"/>
                <w:szCs w:val="21"/>
              </w:rPr>
              <w:t>良（3分）：日常管理方案合理可行、具有针对性，符合实际工作需求，可保障服务工作的顺利进行。</w:t>
            </w:r>
            <w:r>
              <w:rPr>
                <w:rFonts w:hint="eastAsia" w:ascii="宋体" w:hAnsi="宋体" w:eastAsia="宋体" w:cs="宋体"/>
                <w:sz w:val="21"/>
                <w:szCs w:val="21"/>
              </w:rPr>
              <w:br w:type="textWrapping"/>
            </w:r>
            <w:r>
              <w:rPr>
                <w:rFonts w:hint="eastAsia" w:ascii="宋体" w:hAnsi="宋体" w:eastAsia="宋体" w:cs="宋体"/>
                <w:sz w:val="21"/>
                <w:szCs w:val="21"/>
              </w:rPr>
              <w:t>差（1分）：日常管理方案不够全面，不符合实际工作需求，针对性较差，可行性差。</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不提供</w:t>
            </w:r>
            <w:r>
              <w:rPr>
                <w:rFonts w:hint="eastAsia" w:ascii="宋体" w:hAnsi="宋体" w:eastAsia="宋体" w:cs="宋体"/>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745" w:type="dxa"/>
            <w:gridSpan w:val="4"/>
            <w:vAlign w:val="center"/>
          </w:tcPr>
          <w:p>
            <w:pPr>
              <w:ind w:firstLine="630" w:firstLineChars="300"/>
              <w:rPr>
                <w:rFonts w:ascii="宋体" w:hAnsi="宋体" w:eastAsia="宋体" w:cs="宋体"/>
                <w:color w:val="auto"/>
                <w:sz w:val="21"/>
                <w:szCs w:val="21"/>
              </w:rPr>
            </w:pPr>
            <w:r>
              <w:rPr>
                <w:rFonts w:hint="eastAsia" w:ascii="宋体" w:hAnsi="宋体" w:eastAsia="宋体" w:cs="宋体"/>
                <w:color w:val="auto"/>
                <w:sz w:val="21"/>
                <w:szCs w:val="21"/>
              </w:rPr>
              <w:t>所有评委评分算术平均值为该投标人技术部分得分。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946" w:type="dxa"/>
            <w:vMerge w:val="restart"/>
            <w:vAlign w:val="center"/>
          </w:tcPr>
          <w:p>
            <w:pPr>
              <w:adjustRightInd w:val="0"/>
              <w:snapToGrid w:val="0"/>
              <w:jc w:val="both"/>
              <w:rPr>
                <w:rFonts w:ascii="宋体" w:hAnsi="宋体" w:eastAsia="宋体" w:cs="宋体"/>
                <w:color w:val="auto"/>
                <w:sz w:val="21"/>
                <w:szCs w:val="21"/>
              </w:rPr>
            </w:pPr>
            <w:r>
              <w:rPr>
                <w:rFonts w:hint="eastAsia" w:ascii="宋体" w:hAnsi="宋体" w:eastAsia="宋体" w:cs="宋体"/>
                <w:color w:val="auto"/>
                <w:sz w:val="21"/>
                <w:szCs w:val="21"/>
              </w:rPr>
              <w:t>3.2.1</w:t>
            </w:r>
          </w:p>
          <w:p>
            <w:pPr>
              <w:adjustRightInd w:val="0"/>
              <w:snapToGrid w:val="0"/>
              <w:ind w:leftChars="-1" w:hanging="2" w:hangingChars="1"/>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045" w:type="dxa"/>
            <w:vMerge w:val="restart"/>
            <w:vAlign w:val="center"/>
          </w:tcPr>
          <w:p>
            <w:pPr>
              <w:adjustRightInd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商务部分（C）</w:t>
            </w:r>
          </w:p>
        </w:tc>
        <w:tc>
          <w:tcPr>
            <w:tcW w:w="1566" w:type="dxa"/>
            <w:vAlign w:val="center"/>
          </w:tcPr>
          <w:p>
            <w:pPr>
              <w:ind w:left="-5" w:leftChars="-2"/>
              <w:rPr>
                <w:rFonts w:ascii="宋体" w:hAnsi="宋体" w:eastAsia="宋体" w:cs="宋体"/>
                <w:color w:val="auto"/>
                <w:sz w:val="21"/>
                <w:szCs w:val="21"/>
              </w:rPr>
            </w:pPr>
            <w:r>
              <w:rPr>
                <w:rFonts w:hint="eastAsia" w:ascii="宋体" w:hAnsi="宋体" w:eastAsia="宋体" w:cs="宋体"/>
                <w:color w:val="auto"/>
                <w:sz w:val="21"/>
                <w:szCs w:val="21"/>
              </w:rPr>
              <w:t>业绩（</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c>
          <w:tcPr>
            <w:tcW w:w="6188" w:type="dxa"/>
            <w:vAlign w:val="center"/>
          </w:tcPr>
          <w:p>
            <w:pPr>
              <w:ind w:firstLine="630" w:firstLineChars="300"/>
              <w:rPr>
                <w:rFonts w:hint="eastAsia" w:ascii="宋体" w:hAnsi="宋体" w:eastAsia="宋体"/>
                <w:color w:val="auto"/>
                <w:sz w:val="21"/>
                <w:szCs w:val="21"/>
                <w:lang w:val="en-US" w:eastAsia="zh-CN"/>
              </w:rPr>
            </w:pPr>
            <w:r>
              <w:rPr>
                <w:rFonts w:hint="eastAsia" w:ascii="宋体" w:hAnsi="宋体" w:eastAsia="宋体" w:cs="宋体"/>
                <w:color w:val="auto"/>
                <w:sz w:val="21"/>
                <w:szCs w:val="21"/>
              </w:rPr>
              <w:t>投标人在满足资格条件的业绩基础上，</w:t>
            </w:r>
            <w:r>
              <w:rPr>
                <w:rFonts w:hint="eastAsia" w:ascii="宋体" w:hAnsi="宋体" w:eastAsia="宋体"/>
                <w:color w:val="auto"/>
                <w:sz w:val="21"/>
                <w:szCs w:val="21"/>
                <w:lang w:val="en-US" w:eastAsia="zh-CN"/>
              </w:rPr>
              <w:t>2020年1月1日起至投标截至时间止，每具有</w:t>
            </w:r>
            <w:r>
              <w:rPr>
                <w:rFonts w:hint="eastAsia" w:ascii="宋体" w:hAnsi="宋体" w:eastAsia="宋体" w:cs="Times New Roman"/>
                <w:color w:val="auto"/>
                <w:sz w:val="21"/>
                <w:szCs w:val="21"/>
                <w:highlight w:val="none"/>
                <w:lang w:val="en-US" w:eastAsia="zh-CN"/>
              </w:rPr>
              <w:t>1个年度服务金额不低于 100 万元话务热线外包服务项目业绩(合同中需体现人员外包服务或人员坐席数量 )的得1分</w:t>
            </w:r>
            <w:r>
              <w:rPr>
                <w:rFonts w:hint="eastAsia" w:ascii="宋体" w:hAnsi="宋体" w:eastAsia="宋体"/>
                <w:color w:val="auto"/>
                <w:sz w:val="21"/>
                <w:szCs w:val="21"/>
                <w:lang w:val="en-US" w:eastAsia="zh-CN"/>
              </w:rPr>
              <w:t>，本项最高得4分。</w:t>
            </w:r>
          </w:p>
          <w:p>
            <w:pPr>
              <w:ind w:firstLine="630" w:firstLineChars="300"/>
              <w:rPr>
                <w:rFonts w:hint="default" w:eastAsia="宋体" w:cs="宋体" w:asciiTheme="minorEastAsia" w:hAnsiTheme="minorEastAsia"/>
                <w:color w:val="auto"/>
                <w:kern w:val="0"/>
                <w:sz w:val="21"/>
                <w:szCs w:val="21"/>
                <w:lang w:val="en-US"/>
              </w:rPr>
            </w:pPr>
            <w:r>
              <w:rPr>
                <w:rFonts w:hint="eastAsia" w:ascii="宋体" w:hAnsi="宋体" w:eastAsia="宋体"/>
                <w:color w:val="auto"/>
                <w:sz w:val="21"/>
                <w:szCs w:val="21"/>
                <w:lang w:val="en-US" w:eastAsia="zh-CN"/>
              </w:rPr>
              <w:t>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946" w:type="dxa"/>
            <w:vMerge w:val="continue"/>
            <w:vAlign w:val="center"/>
          </w:tcPr>
          <w:p>
            <w:pPr>
              <w:adjustRightInd w:val="0"/>
              <w:snapToGrid w:val="0"/>
              <w:ind w:leftChars="-1" w:hanging="2" w:hangingChars="1"/>
              <w:jc w:val="center"/>
              <w:rPr>
                <w:rFonts w:ascii="宋体" w:hAnsi="宋体" w:eastAsia="宋体" w:cs="宋体"/>
                <w:color w:val="auto"/>
                <w:sz w:val="21"/>
                <w:szCs w:val="21"/>
              </w:rPr>
            </w:pPr>
          </w:p>
        </w:tc>
        <w:tc>
          <w:tcPr>
            <w:tcW w:w="1045" w:type="dxa"/>
            <w:vMerge w:val="continue"/>
            <w:vAlign w:val="center"/>
          </w:tcPr>
          <w:p>
            <w:pPr>
              <w:adjustRightInd w:val="0"/>
              <w:snapToGrid w:val="0"/>
              <w:jc w:val="center"/>
              <w:rPr>
                <w:rFonts w:ascii="宋体" w:hAnsi="宋体" w:eastAsia="宋体" w:cs="宋体"/>
                <w:color w:val="auto"/>
                <w:sz w:val="21"/>
                <w:szCs w:val="21"/>
              </w:rPr>
            </w:pPr>
          </w:p>
        </w:tc>
        <w:tc>
          <w:tcPr>
            <w:tcW w:w="1566" w:type="dxa"/>
            <w:vAlign w:val="center"/>
          </w:tcPr>
          <w:p>
            <w:pPr>
              <w:ind w:left="-5" w:leftChars="-2"/>
              <w:rPr>
                <w:rFonts w:ascii="宋体" w:hAnsi="宋体" w:cs="宋体"/>
                <w:color w:val="auto"/>
                <w:sz w:val="21"/>
                <w:szCs w:val="21"/>
              </w:rPr>
            </w:pPr>
            <w:r>
              <w:rPr>
                <w:rFonts w:hint="eastAsia" w:ascii="宋体" w:hAnsi="宋体" w:eastAsia="宋体" w:cs="宋体"/>
                <w:color w:val="auto"/>
                <w:sz w:val="21"/>
                <w:szCs w:val="21"/>
                <w:lang w:val="en-US" w:eastAsia="zh-CN"/>
              </w:rPr>
              <w:t>服务团队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p>
        </w:tc>
        <w:tc>
          <w:tcPr>
            <w:tcW w:w="6188" w:type="dxa"/>
            <w:vAlign w:val="center"/>
          </w:tcPr>
          <w:p>
            <w:pPr>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拟投入本项目负责人须为本单位人员，同时具有CC-CMM证书、4PS国际标准认证协调员证书和PMP证书的得2分，其余不得分。</w:t>
            </w:r>
          </w:p>
          <w:p>
            <w:pPr>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除项目负责人外拟投入本项目其他人员须为本单位人员，且≥2人，并具备CCOM认证的得1分，其余不得分。</w:t>
            </w:r>
          </w:p>
          <w:p>
            <w:pPr>
              <w:ind w:firstLine="630" w:firstLineChars="3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提供相关人员身份证，2023年5月-2023年7月社保证明材料和相应证书复印件。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6" w:type="dxa"/>
            <w:vMerge w:val="continue"/>
            <w:vAlign w:val="center"/>
          </w:tcPr>
          <w:p>
            <w:pPr>
              <w:adjustRightInd w:val="0"/>
              <w:snapToGrid w:val="0"/>
              <w:ind w:leftChars="-1" w:hanging="2" w:hangingChars="1"/>
              <w:jc w:val="center"/>
              <w:rPr>
                <w:rFonts w:ascii="宋体" w:hAnsi="宋体" w:eastAsia="宋体" w:cs="宋体"/>
                <w:color w:val="auto"/>
                <w:sz w:val="21"/>
                <w:szCs w:val="21"/>
              </w:rPr>
            </w:pPr>
          </w:p>
        </w:tc>
        <w:tc>
          <w:tcPr>
            <w:tcW w:w="1045" w:type="dxa"/>
            <w:vMerge w:val="continue"/>
            <w:vAlign w:val="center"/>
          </w:tcPr>
          <w:p>
            <w:pPr>
              <w:adjustRightInd w:val="0"/>
              <w:snapToGrid w:val="0"/>
              <w:jc w:val="center"/>
              <w:rPr>
                <w:rFonts w:ascii="宋体" w:hAnsi="宋体" w:eastAsia="宋体" w:cs="宋体"/>
                <w:color w:val="auto"/>
                <w:sz w:val="21"/>
                <w:szCs w:val="21"/>
              </w:rPr>
            </w:pPr>
          </w:p>
        </w:tc>
        <w:tc>
          <w:tcPr>
            <w:tcW w:w="1566" w:type="dxa"/>
            <w:vAlign w:val="center"/>
          </w:tcPr>
          <w:p>
            <w:pPr>
              <w:ind w:left="-5" w:leftChars="-2"/>
              <w:rPr>
                <w:rFonts w:ascii="宋体" w:hAnsi="宋体" w:eastAsia="宋体" w:cs="宋体"/>
                <w:color w:val="auto"/>
                <w:sz w:val="21"/>
                <w:szCs w:val="21"/>
              </w:rPr>
            </w:pPr>
            <w:r>
              <w:rPr>
                <w:rFonts w:hint="eastAsia" w:ascii="宋体" w:hAnsi="宋体" w:eastAsia="宋体" w:cs="宋体"/>
                <w:color w:val="auto"/>
                <w:sz w:val="21"/>
                <w:szCs w:val="21"/>
                <w:lang w:val="en-US" w:eastAsia="zh-CN"/>
              </w:rPr>
              <w:t>企业实力</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6188" w:type="dxa"/>
            <w:vAlign w:val="center"/>
          </w:tcPr>
          <w:p>
            <w:pPr>
              <w:ind w:left="418" w:leftChars="174" w:firstLine="0" w:firstLineChars="0"/>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1、投标人具有质量管理体系认证证书；</w:t>
            </w:r>
            <w:r>
              <w:rPr>
                <w:rFonts w:hint="eastAsia" w:cs="宋体" w:asciiTheme="minorEastAsia" w:hAnsiTheme="minorEastAsia" w:eastAsiaTheme="minorEastAsia"/>
                <w:color w:val="auto"/>
                <w:kern w:val="0"/>
                <w:sz w:val="21"/>
                <w:szCs w:val="21"/>
                <w:lang w:val="en-US" w:eastAsia="zh-CN"/>
              </w:rPr>
              <w:br w:type="textWrapping"/>
            </w:r>
            <w:r>
              <w:rPr>
                <w:rFonts w:hint="eastAsia" w:cs="宋体" w:asciiTheme="minorEastAsia" w:hAnsiTheme="minorEastAsia" w:eastAsiaTheme="minorEastAsia"/>
                <w:color w:val="auto"/>
                <w:kern w:val="0"/>
                <w:sz w:val="21"/>
                <w:szCs w:val="21"/>
                <w:lang w:val="en-US" w:eastAsia="zh-CN"/>
              </w:rPr>
              <w:t>2.投标人具有信息安全管理体系认证证书；</w:t>
            </w:r>
            <w:r>
              <w:rPr>
                <w:rFonts w:hint="eastAsia" w:cs="宋体" w:asciiTheme="minorEastAsia" w:hAnsiTheme="minorEastAsia" w:eastAsiaTheme="minorEastAsia"/>
                <w:color w:val="auto"/>
                <w:kern w:val="0"/>
                <w:sz w:val="21"/>
                <w:szCs w:val="21"/>
                <w:lang w:val="en-US" w:eastAsia="zh-CN"/>
              </w:rPr>
              <w:br w:type="textWrapping"/>
            </w:r>
            <w:r>
              <w:rPr>
                <w:rFonts w:hint="eastAsia" w:cs="宋体" w:asciiTheme="minorEastAsia" w:hAnsiTheme="minorEastAsia" w:eastAsiaTheme="minorEastAsia"/>
                <w:color w:val="auto"/>
                <w:kern w:val="0"/>
                <w:sz w:val="21"/>
                <w:szCs w:val="21"/>
                <w:lang w:val="en-US" w:eastAsia="zh-CN"/>
              </w:rPr>
              <w:t>3.投标人具有职业健康安全管理体系认证</w:t>
            </w:r>
          </w:p>
          <w:p>
            <w:pPr>
              <w:ind w:firstLine="420" w:firstLineChars="200"/>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投标人每具有以上1个认证证书的得1分，最高得3分。</w:t>
            </w:r>
          </w:p>
          <w:p>
            <w:pPr>
              <w:ind w:firstLine="420" w:firstLineChars="200"/>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lang w:val="en-US" w:eastAsia="zh-CN"/>
              </w:rPr>
              <w:t>提供相应证书复印件</w:t>
            </w:r>
            <w:r>
              <w:rPr>
                <w:rFonts w:hint="eastAsia" w:cs="宋体" w:asciiTheme="minorEastAsia" w:hAnsiTheme="minorEastAsia" w:eastAsia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46" w:type="dxa"/>
            <w:vAlign w:val="center"/>
          </w:tcPr>
          <w:p>
            <w:pPr>
              <w:adjustRightInd w:val="0"/>
              <w:snapToGrid w:val="0"/>
              <w:ind w:left="2" w:hanging="2" w:hangingChars="1"/>
              <w:jc w:val="center"/>
              <w:rPr>
                <w:rFonts w:ascii="宋体" w:hAnsi="宋体" w:eastAsia="宋体" w:cs="宋体"/>
                <w:color w:val="auto"/>
                <w:sz w:val="21"/>
                <w:szCs w:val="21"/>
              </w:rPr>
            </w:pPr>
            <w:r>
              <w:rPr>
                <w:rFonts w:hint="eastAsia" w:ascii="宋体" w:hAnsi="宋体" w:eastAsia="宋体" w:cs="宋体"/>
                <w:color w:val="auto"/>
                <w:sz w:val="21"/>
                <w:szCs w:val="21"/>
              </w:rPr>
              <w:t>3.2.2</w:t>
            </w:r>
          </w:p>
        </w:tc>
        <w:tc>
          <w:tcPr>
            <w:tcW w:w="1045" w:type="dxa"/>
            <w:vAlign w:val="center"/>
          </w:tcPr>
          <w:p>
            <w:pPr>
              <w:adjustRightInd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投标人得分</w:t>
            </w:r>
          </w:p>
        </w:tc>
        <w:tc>
          <w:tcPr>
            <w:tcW w:w="1566" w:type="dxa"/>
            <w:vAlign w:val="center"/>
          </w:tcPr>
          <w:p>
            <w:pPr>
              <w:adjustRightInd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综合得分</w:t>
            </w:r>
          </w:p>
        </w:tc>
        <w:tc>
          <w:tcPr>
            <w:tcW w:w="6188" w:type="dxa"/>
            <w:vAlign w:val="center"/>
          </w:tcPr>
          <w:p>
            <w:pPr>
              <w:adjustRightInd w:val="0"/>
              <w:snapToGrid w:val="0"/>
              <w:ind w:firstLine="105" w:firstLineChars="50"/>
              <w:rPr>
                <w:rFonts w:ascii="宋体" w:hAnsi="宋体" w:eastAsia="宋体" w:cs="宋体"/>
                <w:color w:val="auto"/>
                <w:sz w:val="21"/>
                <w:szCs w:val="21"/>
              </w:rPr>
            </w:pPr>
            <w:r>
              <w:rPr>
                <w:rFonts w:hint="eastAsia" w:ascii="宋体" w:hAnsi="宋体" w:eastAsia="宋体" w:cs="宋体"/>
                <w:color w:val="auto"/>
                <w:sz w:val="21"/>
                <w:szCs w:val="21"/>
              </w:rPr>
              <w:t>投标人得分=A+B+C</w:t>
            </w:r>
          </w:p>
        </w:tc>
      </w:tr>
    </w:tbl>
    <w:p>
      <w:pPr>
        <w:pStyle w:val="4"/>
        <w:spacing w:line="360" w:lineRule="auto"/>
        <w:rPr>
          <w:rFonts w:ascii="宋体" w:hAnsi="宋体" w:eastAsia="宋体" w:cs="宋体"/>
          <w:color w:val="auto"/>
          <w:w w:val="99"/>
          <w:sz w:val="24"/>
          <w:szCs w:val="24"/>
        </w:rPr>
      </w:pPr>
      <w:r>
        <w:rPr>
          <w:rFonts w:hint="eastAsia" w:ascii="宋体" w:hAnsi="宋体" w:eastAsia="宋体" w:cs="宋体"/>
          <w:color w:val="auto"/>
          <w:w w:val="99"/>
          <w:sz w:val="24"/>
          <w:szCs w:val="24"/>
        </w:rPr>
        <w:br w:type="page"/>
      </w:r>
      <w:bookmarkStart w:id="197" w:name="_Toc277082618"/>
      <w:bookmarkStart w:id="198" w:name="_Toc342906434"/>
      <w:bookmarkStart w:id="199" w:name="_Toc224103384"/>
      <w:bookmarkStart w:id="200" w:name="_Toc19860"/>
      <w:bookmarkStart w:id="201" w:name="_Toc9256_WPSOffice_Level2"/>
      <w:bookmarkStart w:id="202" w:name="_Toc342252656"/>
      <w:bookmarkStart w:id="203" w:name="_Toc287607812"/>
      <w:bookmarkStart w:id="204" w:name="_Toc451732648"/>
      <w:bookmarkStart w:id="205" w:name="_Toc516620650"/>
      <w:bookmarkStart w:id="206" w:name="_Toc200513198"/>
      <w:bookmarkStart w:id="207" w:name="_Toc342252472"/>
      <w:r>
        <w:rPr>
          <w:rFonts w:hint="eastAsia" w:ascii="宋体" w:hAnsi="宋体" w:eastAsia="宋体" w:cs="宋体"/>
          <w:color w:val="auto"/>
          <w:sz w:val="24"/>
          <w:szCs w:val="24"/>
        </w:rPr>
        <w:t>1.  评标方法</w:t>
      </w:r>
      <w:bookmarkEnd w:id="197"/>
      <w:bookmarkEnd w:id="198"/>
      <w:bookmarkEnd w:id="199"/>
      <w:bookmarkEnd w:id="200"/>
      <w:bookmarkEnd w:id="201"/>
      <w:bookmarkEnd w:id="202"/>
      <w:bookmarkEnd w:id="203"/>
      <w:bookmarkEnd w:id="204"/>
      <w:bookmarkEnd w:id="205"/>
      <w:bookmarkEnd w:id="206"/>
      <w:bookmarkEnd w:id="207"/>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本次评标采用综合评标法。评标委员会对满足招标文件实质性要求的投标文件，按照本章第 2.2 款规定的评分标准进行打分，按得分由高到低顺序推荐中标候选人，或根据招标人授权直接确定中标人。得分相等时，由评标委员会投票确定。</w:t>
      </w:r>
    </w:p>
    <w:p>
      <w:pPr>
        <w:pStyle w:val="4"/>
        <w:spacing w:line="360" w:lineRule="auto"/>
        <w:rPr>
          <w:rFonts w:ascii="宋体" w:hAnsi="宋体" w:eastAsia="宋体" w:cs="宋体"/>
          <w:color w:val="auto"/>
          <w:sz w:val="24"/>
          <w:szCs w:val="24"/>
        </w:rPr>
      </w:pPr>
      <w:bookmarkStart w:id="208" w:name="_Toc342252473"/>
      <w:bookmarkStart w:id="209" w:name="_Toc342906435"/>
      <w:bookmarkStart w:id="210" w:name="_Toc342252657"/>
      <w:bookmarkStart w:id="211" w:name="_Toc451732649"/>
      <w:bookmarkStart w:id="212" w:name="_Toc27654_WPSOffice_Level2"/>
      <w:bookmarkStart w:id="213" w:name="_Toc224103374"/>
      <w:bookmarkStart w:id="214" w:name="_Toc200513188"/>
      <w:bookmarkStart w:id="215" w:name="_Toc287607802"/>
      <w:bookmarkStart w:id="216" w:name="_Toc277082609"/>
      <w:bookmarkStart w:id="217" w:name="_Toc516620651"/>
      <w:bookmarkStart w:id="218" w:name="_Toc287620741"/>
      <w:bookmarkStart w:id="219" w:name="_Toc3394"/>
      <w:r>
        <w:rPr>
          <w:rFonts w:hint="eastAsia" w:ascii="宋体" w:hAnsi="宋体" w:eastAsia="宋体" w:cs="宋体"/>
          <w:color w:val="auto"/>
          <w:sz w:val="24"/>
          <w:szCs w:val="24"/>
        </w:rPr>
        <w:t>2.  评审标准</w:t>
      </w:r>
      <w:bookmarkEnd w:id="208"/>
      <w:bookmarkEnd w:id="209"/>
      <w:bookmarkEnd w:id="210"/>
      <w:bookmarkEnd w:id="211"/>
      <w:bookmarkEnd w:id="212"/>
      <w:bookmarkEnd w:id="213"/>
      <w:bookmarkEnd w:id="214"/>
      <w:bookmarkEnd w:id="215"/>
      <w:bookmarkEnd w:id="216"/>
      <w:bookmarkEnd w:id="217"/>
      <w:bookmarkEnd w:id="218"/>
      <w:bookmarkEnd w:id="219"/>
    </w:p>
    <w:p>
      <w:pPr>
        <w:pStyle w:val="5"/>
        <w:spacing w:line="360" w:lineRule="auto"/>
        <w:rPr>
          <w:rFonts w:ascii="宋体" w:hAnsi="宋体" w:eastAsia="宋体" w:cs="宋体"/>
          <w:snapToGrid w:val="0"/>
          <w:color w:val="auto"/>
          <w:sz w:val="24"/>
          <w:szCs w:val="24"/>
        </w:rPr>
      </w:pPr>
      <w:bookmarkStart w:id="220" w:name="_Toc342252474"/>
      <w:bookmarkStart w:id="221" w:name="_Toc277082610"/>
      <w:bookmarkStart w:id="222" w:name="_Toc25763_WPSOffice_Level3"/>
      <w:bookmarkStart w:id="223" w:name="_Toc287620742"/>
      <w:bookmarkStart w:id="224" w:name="_Toc342906436"/>
      <w:bookmarkStart w:id="225" w:name="_Toc342252658"/>
      <w:bookmarkStart w:id="226" w:name="_Toc516620652"/>
      <w:bookmarkStart w:id="227" w:name="_Toc451732650"/>
      <w:bookmarkStart w:id="228" w:name="_Toc287607803"/>
      <w:bookmarkStart w:id="229" w:name="_Toc23368"/>
      <w:bookmarkStart w:id="230" w:name="_Toc224103375"/>
      <w:bookmarkStart w:id="231" w:name="_Toc200513189"/>
      <w:bookmarkStart w:id="232" w:name="_Toc16379_WPSOffice_Level3"/>
      <w:r>
        <w:rPr>
          <w:rFonts w:hint="eastAsia" w:ascii="宋体" w:hAnsi="宋体" w:eastAsia="宋体" w:cs="宋体"/>
          <w:snapToGrid w:val="0"/>
          <w:color w:val="auto"/>
          <w:sz w:val="24"/>
          <w:szCs w:val="24"/>
        </w:rPr>
        <w:t>2.1  初步评审标准</w:t>
      </w:r>
      <w:bookmarkEnd w:id="220"/>
      <w:bookmarkEnd w:id="221"/>
      <w:bookmarkEnd w:id="222"/>
      <w:bookmarkEnd w:id="223"/>
      <w:bookmarkEnd w:id="224"/>
      <w:bookmarkEnd w:id="225"/>
      <w:bookmarkEnd w:id="226"/>
      <w:bookmarkEnd w:id="227"/>
      <w:bookmarkEnd w:id="228"/>
      <w:bookmarkEnd w:id="229"/>
      <w:bookmarkEnd w:id="230"/>
      <w:bookmarkEnd w:id="231"/>
      <w:bookmarkEnd w:id="232"/>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2.1.1  形式评审标准：见评标办法前附表。</w:t>
      </w:r>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2.1.2  资格评审标准：见评标办法前附表。</w:t>
      </w:r>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2.1.3  响应性评审标准：见评标办法前附表。</w:t>
      </w:r>
    </w:p>
    <w:p>
      <w:pPr>
        <w:pStyle w:val="5"/>
        <w:spacing w:line="360" w:lineRule="auto"/>
        <w:rPr>
          <w:rFonts w:ascii="宋体" w:hAnsi="宋体" w:eastAsia="宋体" w:cs="宋体"/>
          <w:snapToGrid w:val="0"/>
          <w:color w:val="auto"/>
          <w:sz w:val="24"/>
          <w:szCs w:val="24"/>
        </w:rPr>
      </w:pPr>
      <w:bookmarkStart w:id="233" w:name="_Toc287620743"/>
      <w:bookmarkStart w:id="234" w:name="_Toc200513190"/>
      <w:bookmarkStart w:id="235" w:name="_Toc342906437"/>
      <w:bookmarkStart w:id="236" w:name="_Toc516620653"/>
      <w:bookmarkStart w:id="237" w:name="_Toc7225"/>
      <w:bookmarkStart w:id="238" w:name="_Toc287607804"/>
      <w:bookmarkStart w:id="239" w:name="_Toc342252475"/>
      <w:bookmarkStart w:id="240" w:name="_Toc32515_WPSOffice_Level3"/>
      <w:bookmarkStart w:id="241" w:name="_Toc342252659"/>
      <w:bookmarkStart w:id="242" w:name="_Toc224103376"/>
      <w:bookmarkStart w:id="243" w:name="_Toc451732651"/>
      <w:bookmarkStart w:id="244" w:name="_Toc11918_WPSOffice_Level3"/>
      <w:bookmarkStart w:id="245" w:name="_Toc277082611"/>
      <w:r>
        <w:rPr>
          <w:rFonts w:hint="eastAsia" w:ascii="宋体" w:hAnsi="宋体" w:eastAsia="宋体" w:cs="宋体"/>
          <w:snapToGrid w:val="0"/>
          <w:color w:val="auto"/>
          <w:sz w:val="24"/>
          <w:szCs w:val="24"/>
        </w:rPr>
        <w:t>2.2  详细评审标准</w:t>
      </w:r>
      <w:bookmarkEnd w:id="233"/>
      <w:bookmarkEnd w:id="234"/>
      <w:bookmarkEnd w:id="235"/>
      <w:bookmarkEnd w:id="236"/>
      <w:bookmarkEnd w:id="237"/>
      <w:bookmarkEnd w:id="238"/>
      <w:bookmarkEnd w:id="239"/>
      <w:bookmarkEnd w:id="240"/>
      <w:bookmarkEnd w:id="241"/>
      <w:bookmarkEnd w:id="242"/>
      <w:bookmarkEnd w:id="243"/>
      <w:bookmarkEnd w:id="244"/>
      <w:bookmarkEnd w:id="245"/>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详细评审标准：见评标办法前附表。</w:t>
      </w:r>
    </w:p>
    <w:p>
      <w:pPr>
        <w:pStyle w:val="4"/>
        <w:spacing w:line="360" w:lineRule="auto"/>
        <w:rPr>
          <w:rFonts w:ascii="宋体" w:hAnsi="宋体" w:eastAsia="宋体" w:cs="宋体"/>
          <w:color w:val="auto"/>
          <w:sz w:val="24"/>
          <w:szCs w:val="24"/>
        </w:rPr>
      </w:pPr>
      <w:bookmarkStart w:id="246" w:name="_Toc12028_WPSOffice_Level2"/>
      <w:bookmarkStart w:id="247" w:name="_Toc287607805"/>
      <w:bookmarkStart w:id="248" w:name="_Toc8652"/>
      <w:bookmarkStart w:id="249" w:name="_Toc342252660"/>
      <w:bookmarkStart w:id="250" w:name="_Toc342252476"/>
      <w:bookmarkStart w:id="251" w:name="_Toc287620744"/>
      <w:bookmarkStart w:id="252" w:name="_Toc516620654"/>
      <w:bookmarkStart w:id="253" w:name="_Toc200513191"/>
      <w:bookmarkStart w:id="254" w:name="_Toc342906438"/>
      <w:bookmarkStart w:id="255" w:name="_Toc451732652"/>
      <w:bookmarkStart w:id="256" w:name="_Toc224103377"/>
      <w:bookmarkStart w:id="257" w:name="_Toc277082612"/>
      <w:r>
        <w:rPr>
          <w:rFonts w:hint="eastAsia" w:ascii="宋体" w:hAnsi="宋体" w:eastAsia="宋体" w:cs="宋体"/>
          <w:color w:val="auto"/>
          <w:sz w:val="24"/>
          <w:szCs w:val="24"/>
        </w:rPr>
        <w:t>3.  评标程序</w:t>
      </w:r>
      <w:bookmarkEnd w:id="246"/>
      <w:bookmarkEnd w:id="247"/>
      <w:bookmarkEnd w:id="248"/>
      <w:bookmarkEnd w:id="249"/>
      <w:bookmarkEnd w:id="250"/>
      <w:bookmarkEnd w:id="251"/>
      <w:bookmarkEnd w:id="252"/>
      <w:bookmarkEnd w:id="253"/>
      <w:bookmarkEnd w:id="254"/>
      <w:bookmarkEnd w:id="255"/>
      <w:bookmarkEnd w:id="256"/>
      <w:bookmarkEnd w:id="257"/>
    </w:p>
    <w:p>
      <w:pPr>
        <w:pStyle w:val="5"/>
        <w:spacing w:line="360" w:lineRule="auto"/>
        <w:rPr>
          <w:rFonts w:ascii="宋体" w:hAnsi="宋体" w:eastAsia="宋体" w:cs="宋体"/>
          <w:snapToGrid w:val="0"/>
          <w:color w:val="auto"/>
          <w:sz w:val="24"/>
          <w:szCs w:val="24"/>
        </w:rPr>
      </w:pPr>
      <w:bookmarkStart w:id="258" w:name="_Toc451732653"/>
      <w:bookmarkStart w:id="259" w:name="_Toc287620745"/>
      <w:bookmarkStart w:id="260" w:name="_Toc5449_WPSOffice_Level3"/>
      <w:bookmarkStart w:id="261" w:name="_Toc342252477"/>
      <w:bookmarkStart w:id="262" w:name="_Toc17243_WPSOffice_Level3"/>
      <w:bookmarkStart w:id="263" w:name="_Toc516620655"/>
      <w:bookmarkStart w:id="264" w:name="_Toc200513192"/>
      <w:bookmarkStart w:id="265" w:name="_Toc287607806"/>
      <w:bookmarkStart w:id="266" w:name="_Toc224103378"/>
      <w:bookmarkStart w:id="267" w:name="_Toc277082613"/>
      <w:bookmarkStart w:id="268" w:name="_Toc7058"/>
      <w:bookmarkStart w:id="269" w:name="_Toc342252661"/>
      <w:bookmarkStart w:id="270" w:name="_Toc342906439"/>
      <w:r>
        <w:rPr>
          <w:rFonts w:hint="eastAsia" w:ascii="宋体" w:hAnsi="宋体" w:eastAsia="宋体" w:cs="宋体"/>
          <w:snapToGrid w:val="0"/>
          <w:color w:val="auto"/>
          <w:sz w:val="24"/>
          <w:szCs w:val="24"/>
        </w:rPr>
        <w:t>3.1  初步评审</w:t>
      </w:r>
      <w:bookmarkEnd w:id="258"/>
      <w:bookmarkEnd w:id="259"/>
      <w:bookmarkEnd w:id="260"/>
      <w:bookmarkEnd w:id="261"/>
      <w:bookmarkEnd w:id="262"/>
      <w:bookmarkEnd w:id="263"/>
      <w:bookmarkEnd w:id="264"/>
      <w:bookmarkEnd w:id="265"/>
      <w:bookmarkEnd w:id="266"/>
      <w:bookmarkEnd w:id="267"/>
      <w:bookmarkEnd w:id="268"/>
      <w:bookmarkEnd w:id="269"/>
      <w:bookmarkEnd w:id="270"/>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3.1.1 评标委员会要求投标人必须提交第二章“投标人须知”第1.4.1项的有关证明和证件的复印件。评标委员会依据本章第 2.1 款规定的标准对投标文件进行初步评审。有一项不符合评审标准的，作否决投标处理。</w:t>
      </w:r>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3.1.2  投标人有以下情形之一的，其投标作否决投标处理：</w:t>
      </w:r>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（1）第二章“投标人须知”第 1.4.3 项规定的任何一种情形的；</w:t>
      </w:r>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（2）串通投标或弄虚作假或有其他违法行为的；</w:t>
      </w:r>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（3）不按评标委员会要求澄清、说明或补正的。</w:t>
      </w:r>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（4）提供虚假资料（证明文件）。</w:t>
      </w:r>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3.1.3  投标报价有算术错误的，评标委员会按以下原则对投标报价进行修正，修正的价格经投标人书面确认后具有约束力。投标人不接受修正价格的，其投标作否决投标处理。</w:t>
      </w:r>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（1）投标文件中的大写金额与小写金额不一致的，以大写金额为准；</w:t>
      </w:r>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（2）总价金额与依据单价计算出的结果不一致的，以单价金额为准修正总价，但单价金额小数点有明显错误的除外。</w:t>
      </w:r>
    </w:p>
    <w:p>
      <w:pPr>
        <w:pStyle w:val="5"/>
        <w:spacing w:line="360" w:lineRule="auto"/>
        <w:rPr>
          <w:rFonts w:ascii="宋体" w:hAnsi="宋体" w:eastAsia="宋体" w:cs="宋体"/>
          <w:snapToGrid w:val="0"/>
          <w:color w:val="auto"/>
          <w:sz w:val="24"/>
          <w:szCs w:val="24"/>
        </w:rPr>
      </w:pPr>
      <w:bookmarkStart w:id="271" w:name="_Toc287620746"/>
      <w:bookmarkStart w:id="272" w:name="_Toc451732654"/>
      <w:bookmarkStart w:id="273" w:name="_Toc522_WPSOffice_Level3"/>
      <w:bookmarkStart w:id="274" w:name="_Toc200513193"/>
      <w:bookmarkStart w:id="275" w:name="_Toc342252662"/>
      <w:bookmarkStart w:id="276" w:name="_Toc9133"/>
      <w:bookmarkStart w:id="277" w:name="_Toc516620656"/>
      <w:bookmarkStart w:id="278" w:name="_Toc342906440"/>
      <w:bookmarkStart w:id="279" w:name="_Toc287607807"/>
      <w:bookmarkStart w:id="280" w:name="_Toc342252478"/>
      <w:bookmarkStart w:id="281" w:name="_Toc224103379"/>
      <w:bookmarkStart w:id="282" w:name="_Toc506_WPSOffice_Level3"/>
      <w:bookmarkStart w:id="283" w:name="_Toc277082614"/>
      <w:r>
        <w:rPr>
          <w:rFonts w:hint="eastAsia" w:ascii="宋体" w:hAnsi="宋体" w:eastAsia="宋体" w:cs="宋体"/>
          <w:snapToGrid w:val="0"/>
          <w:color w:val="auto"/>
          <w:sz w:val="24"/>
          <w:szCs w:val="24"/>
        </w:rPr>
        <w:t>3.2  详细评审</w:t>
      </w:r>
      <w:bookmarkEnd w:id="271"/>
      <w:bookmarkEnd w:id="272"/>
      <w:bookmarkEnd w:id="273"/>
      <w:bookmarkEnd w:id="274"/>
      <w:bookmarkEnd w:id="275"/>
      <w:bookmarkEnd w:id="276"/>
      <w:bookmarkEnd w:id="277"/>
      <w:bookmarkEnd w:id="278"/>
      <w:bookmarkEnd w:id="279"/>
      <w:bookmarkEnd w:id="280"/>
      <w:bookmarkEnd w:id="281"/>
      <w:bookmarkEnd w:id="282"/>
      <w:bookmarkEnd w:id="283"/>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3.2.1 评标委员会按本章第 2.2 款规定的量化因素和标准进行评分。</w:t>
      </w:r>
    </w:p>
    <w:p>
      <w:pPr>
        <w:pStyle w:val="5"/>
        <w:spacing w:line="360" w:lineRule="auto"/>
        <w:rPr>
          <w:rFonts w:ascii="宋体" w:hAnsi="宋体" w:eastAsia="宋体" w:cs="宋体"/>
          <w:snapToGrid w:val="0"/>
          <w:color w:val="auto"/>
          <w:sz w:val="24"/>
          <w:szCs w:val="24"/>
        </w:rPr>
      </w:pPr>
      <w:bookmarkStart w:id="284" w:name="_Toc287620747"/>
      <w:bookmarkStart w:id="285" w:name="_Toc277082615"/>
      <w:bookmarkStart w:id="286" w:name="_Toc11329"/>
      <w:bookmarkStart w:id="287" w:name="_Toc28668_WPSOffice_Level3"/>
      <w:bookmarkStart w:id="288" w:name="_Toc4343_WPSOffice_Level3"/>
      <w:bookmarkStart w:id="289" w:name="_Toc200513194"/>
      <w:bookmarkStart w:id="290" w:name="_Toc342252663"/>
      <w:bookmarkStart w:id="291" w:name="_Toc451732655"/>
      <w:bookmarkStart w:id="292" w:name="_Toc224103380"/>
      <w:bookmarkStart w:id="293" w:name="_Toc342906441"/>
      <w:bookmarkStart w:id="294" w:name="_Toc516620657"/>
      <w:bookmarkStart w:id="295" w:name="_Toc342252479"/>
      <w:bookmarkStart w:id="296" w:name="_Toc287607808"/>
      <w:r>
        <w:rPr>
          <w:rFonts w:hint="eastAsia" w:ascii="宋体" w:hAnsi="宋体" w:eastAsia="宋体" w:cs="宋体"/>
          <w:snapToGrid w:val="0"/>
          <w:color w:val="auto"/>
          <w:sz w:val="24"/>
          <w:szCs w:val="24"/>
        </w:rPr>
        <w:t>3.3  投标文件的澄清和补正</w:t>
      </w:r>
      <w:bookmarkEnd w:id="284"/>
      <w:bookmarkEnd w:id="285"/>
      <w:bookmarkEnd w:id="286"/>
      <w:bookmarkEnd w:id="287"/>
      <w:bookmarkEnd w:id="288"/>
      <w:bookmarkEnd w:id="289"/>
      <w:bookmarkEnd w:id="290"/>
      <w:bookmarkEnd w:id="291"/>
      <w:bookmarkEnd w:id="292"/>
      <w:bookmarkEnd w:id="293"/>
      <w:bookmarkEnd w:id="294"/>
      <w:bookmarkEnd w:id="295"/>
      <w:bookmarkEnd w:id="296"/>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3.3.1  在评标过程中，评标委员会可以书面形式要求投标人对所提交的投标文件中不明确的内容进行书面澄清或说明，或者对细微偏差进行补正。评标委员会不接受投标人主动提出的澄清、说明或补正。</w:t>
      </w:r>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3.3.2  澄清、说明和补正不得改变投标文件的实质性内容（算术性错误修正的除外）。投标人的书面澄清、说明和补正属于投标文件的组成部分。</w:t>
      </w:r>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3.3.3  评标委员会对投标人提交的澄清、说明或补正有疑问的，可以要求投标人进一步澄清、说明或补正。</w:t>
      </w:r>
    </w:p>
    <w:p>
      <w:pPr>
        <w:pStyle w:val="5"/>
        <w:spacing w:line="360" w:lineRule="auto"/>
        <w:rPr>
          <w:rFonts w:ascii="宋体" w:hAnsi="宋体" w:eastAsia="宋体" w:cs="宋体"/>
          <w:snapToGrid w:val="0"/>
          <w:color w:val="auto"/>
          <w:sz w:val="24"/>
          <w:szCs w:val="24"/>
        </w:rPr>
      </w:pPr>
      <w:bookmarkStart w:id="297" w:name="_Toc32164_WPSOffice_Level3"/>
      <w:bookmarkStart w:id="298" w:name="_Toc184_WPSOffice_Level3"/>
      <w:bookmarkStart w:id="299" w:name="_Toc277082616"/>
      <w:bookmarkStart w:id="300" w:name="_Toc27721"/>
      <w:bookmarkStart w:id="301" w:name="_Toc451732656"/>
      <w:bookmarkStart w:id="302" w:name="_Toc287620748"/>
      <w:bookmarkStart w:id="303" w:name="_Toc342252664"/>
      <w:bookmarkStart w:id="304" w:name="_Toc200513195"/>
      <w:bookmarkStart w:id="305" w:name="_Toc287607809"/>
      <w:bookmarkStart w:id="306" w:name="_Toc224103381"/>
      <w:bookmarkStart w:id="307" w:name="_Toc342906442"/>
      <w:bookmarkStart w:id="308" w:name="_Toc516620658"/>
      <w:bookmarkStart w:id="309" w:name="_Toc342252480"/>
      <w:r>
        <w:rPr>
          <w:rFonts w:hint="eastAsia" w:ascii="宋体" w:hAnsi="宋体" w:eastAsia="宋体" w:cs="宋体"/>
          <w:snapToGrid w:val="0"/>
          <w:color w:val="auto"/>
          <w:sz w:val="24"/>
          <w:szCs w:val="24"/>
        </w:rPr>
        <w:t>3.4  评标结果</w:t>
      </w:r>
      <w:bookmarkEnd w:id="297"/>
      <w:bookmarkEnd w:id="298"/>
      <w:bookmarkEnd w:id="299"/>
      <w:bookmarkEnd w:id="300"/>
      <w:bookmarkEnd w:id="301"/>
      <w:bookmarkEnd w:id="302"/>
      <w:bookmarkEnd w:id="303"/>
      <w:bookmarkEnd w:id="304"/>
      <w:bookmarkEnd w:id="305"/>
      <w:bookmarkEnd w:id="306"/>
      <w:bookmarkEnd w:id="307"/>
      <w:bookmarkEnd w:id="308"/>
      <w:bookmarkEnd w:id="309"/>
    </w:p>
    <w:p>
      <w:pPr>
        <w:autoSpaceDE w:val="0"/>
        <w:autoSpaceDN w:val="0"/>
        <w:adjustRightInd w:val="0"/>
        <w:snapToGrid w:val="0"/>
        <w:ind w:firstLine="420"/>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3.4.1  除第二章“投标人须知”前附表授权直接确定中标人外，评标委员会按照得分由高到低的顺序推荐中标候选人。</w:t>
      </w:r>
    </w:p>
    <w:p>
      <w:pPr>
        <w:autoSpaceDE w:val="0"/>
        <w:autoSpaceDN w:val="0"/>
        <w:adjustRightInd w:val="0"/>
        <w:snapToGrid w:val="0"/>
        <w:ind w:firstLine="42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rPr>
        <w:t>3.4.2  评标委员会完成评标后，应当向招标人提交书面评标报告。</w:t>
      </w:r>
    </w:p>
    <w:p>
      <w:pPr>
        <w:autoSpaceDE w:val="0"/>
        <w:autoSpaceDN w:val="0"/>
        <w:adjustRightInd w:val="0"/>
        <w:snapToGrid w:val="0"/>
        <w:ind w:firstLine="420"/>
        <w:jc w:val="center"/>
        <w:rPr>
          <w:rFonts w:hint="eastAsia" w:ascii="宋体" w:hAnsi="宋体" w:eastAsia="宋体" w:cs="宋体"/>
          <w:snapToGrid w:val="0"/>
          <w:color w:val="auto"/>
          <w:kern w:val="0"/>
          <w:szCs w:val="21"/>
          <w:highlight w:val="none"/>
        </w:rPr>
      </w:pPr>
      <w:r>
        <w:rPr>
          <w:rFonts w:ascii="宋体" w:hAnsi="宋体" w:eastAsia="宋体" w:cs="宋体"/>
          <w:snapToGrid w:val="0"/>
          <w:color w:val="auto"/>
          <w:kern w:val="0"/>
          <w:szCs w:val="21"/>
          <w:highlight w:val="none"/>
        </w:rPr>
        <w:br w:type="page"/>
      </w:r>
      <w:r>
        <w:rPr>
          <w:rFonts w:hint="eastAsia" w:ascii="宋体" w:hAnsi="宋体" w:eastAsia="宋体" w:cs="宋体"/>
          <w:snapToGrid w:val="0"/>
          <w:color w:val="auto"/>
          <w:kern w:val="0"/>
          <w:szCs w:val="21"/>
          <w:highlight w:val="none"/>
        </w:rPr>
        <w:t>否决投标情况一览表</w:t>
      </w:r>
    </w:p>
    <w:p>
      <w:pPr>
        <w:pStyle w:val="31"/>
        <w:jc w:val="both"/>
        <w:rPr>
          <w:rFonts w:ascii="宋体" w:hAnsi="宋体"/>
          <w:b/>
          <w:color w:val="auto"/>
          <w:sz w:val="24"/>
          <w:highlight w:val="none"/>
          <w:u w:val="none"/>
          <w:lang w:eastAsia="zh-CN"/>
        </w:rPr>
      </w:pPr>
    </w:p>
    <w:tbl>
      <w:tblPr>
        <w:tblStyle w:val="46"/>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1260"/>
        <w:gridCol w:w="6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noWrap w:val="0"/>
            <w:vAlign w:val="center"/>
          </w:tcPr>
          <w:p>
            <w:pPr>
              <w:jc w:val="center"/>
              <w:rPr>
                <w:rFonts w:ascii="宋体" w:hAnsi="宋体" w:eastAsia="宋体"/>
                <w:b/>
                <w:color w:val="auto"/>
                <w:sz w:val="21"/>
                <w:szCs w:val="21"/>
                <w:highlight w:val="none"/>
              </w:rPr>
            </w:pPr>
            <w:r>
              <w:rPr>
                <w:rFonts w:ascii="宋体" w:hAnsi="宋体" w:eastAsia="宋体"/>
                <w:b/>
                <w:color w:val="auto"/>
                <w:sz w:val="21"/>
                <w:szCs w:val="21"/>
                <w:highlight w:val="none"/>
              </w:rPr>
              <w:t>招标文件章节号</w:t>
            </w:r>
          </w:p>
        </w:tc>
        <w:tc>
          <w:tcPr>
            <w:tcW w:w="1260" w:type="dxa"/>
            <w:noWrap w:val="0"/>
            <w:vAlign w:val="center"/>
          </w:tcPr>
          <w:p>
            <w:pPr>
              <w:jc w:val="center"/>
              <w:rPr>
                <w:rFonts w:ascii="宋体" w:hAnsi="宋体" w:eastAsia="宋体"/>
                <w:b/>
                <w:color w:val="auto"/>
                <w:sz w:val="21"/>
                <w:szCs w:val="21"/>
                <w:highlight w:val="none"/>
              </w:rPr>
            </w:pPr>
            <w:r>
              <w:rPr>
                <w:rFonts w:ascii="宋体" w:hAnsi="宋体" w:eastAsia="宋体"/>
                <w:b/>
                <w:color w:val="auto"/>
                <w:sz w:val="21"/>
                <w:szCs w:val="21"/>
                <w:highlight w:val="none"/>
              </w:rPr>
              <w:t>条款名称</w:t>
            </w:r>
          </w:p>
        </w:tc>
        <w:tc>
          <w:tcPr>
            <w:tcW w:w="6836" w:type="dxa"/>
            <w:noWrap w:val="0"/>
            <w:vAlign w:val="center"/>
          </w:tcPr>
          <w:p>
            <w:pPr>
              <w:jc w:val="center"/>
              <w:rPr>
                <w:rFonts w:ascii="宋体" w:hAnsi="宋体" w:eastAsia="宋体"/>
                <w:b/>
                <w:color w:val="auto"/>
                <w:sz w:val="21"/>
                <w:szCs w:val="21"/>
                <w:highlight w:val="none"/>
              </w:rPr>
            </w:pPr>
            <w:r>
              <w:rPr>
                <w:rFonts w:ascii="宋体" w:hAnsi="宋体" w:eastAsia="宋体"/>
                <w:b/>
                <w:color w:val="auto"/>
                <w:sz w:val="21"/>
                <w:szCs w:val="21"/>
                <w:highlight w:val="none"/>
              </w:rPr>
              <w:t>否决投标条件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trPr>
        <w:tc>
          <w:tcPr>
            <w:tcW w:w="1368" w:type="dxa"/>
            <w:tcBorders>
              <w:bottom w:val="single" w:color="auto" w:sz="4" w:space="0"/>
            </w:tcBorders>
            <w:noWrap w:val="0"/>
            <w:vAlign w:val="center"/>
          </w:tcPr>
          <w:p>
            <w:pPr>
              <w:jc w:val="center"/>
              <w:rPr>
                <w:rFonts w:ascii="宋体" w:hAnsi="宋体" w:eastAsia="宋体"/>
                <w:color w:val="auto"/>
                <w:sz w:val="21"/>
                <w:szCs w:val="21"/>
                <w:highlight w:val="none"/>
              </w:rPr>
            </w:pPr>
            <w:r>
              <w:rPr>
                <w:rFonts w:ascii="宋体" w:hAnsi="宋体" w:eastAsia="宋体"/>
                <w:color w:val="auto"/>
                <w:sz w:val="21"/>
                <w:szCs w:val="21"/>
                <w:highlight w:val="none"/>
              </w:rPr>
              <w:t>第二章</w:t>
            </w:r>
          </w:p>
          <w:p>
            <w:pPr>
              <w:jc w:val="center"/>
              <w:rPr>
                <w:rFonts w:ascii="宋体" w:hAnsi="宋体" w:eastAsia="宋体"/>
                <w:color w:val="auto"/>
                <w:sz w:val="21"/>
                <w:szCs w:val="21"/>
                <w:highlight w:val="none"/>
              </w:rPr>
            </w:pPr>
            <w:r>
              <w:rPr>
                <w:rFonts w:ascii="宋体" w:hAnsi="宋体" w:eastAsia="宋体"/>
                <w:color w:val="auto"/>
                <w:sz w:val="21"/>
                <w:szCs w:val="21"/>
                <w:highlight w:val="none"/>
              </w:rPr>
              <w:t>3.2</w:t>
            </w:r>
          </w:p>
        </w:tc>
        <w:tc>
          <w:tcPr>
            <w:tcW w:w="1260" w:type="dxa"/>
            <w:tcBorders>
              <w:bottom w:val="single" w:color="auto" w:sz="4" w:space="0"/>
            </w:tcBorders>
            <w:noWrap w:val="0"/>
            <w:vAlign w:val="center"/>
          </w:tcPr>
          <w:p>
            <w:pPr>
              <w:jc w:val="center"/>
              <w:rPr>
                <w:rFonts w:ascii="宋体" w:hAnsi="宋体" w:eastAsia="宋体"/>
                <w:color w:val="auto"/>
                <w:sz w:val="21"/>
                <w:szCs w:val="21"/>
                <w:highlight w:val="none"/>
              </w:rPr>
            </w:pPr>
            <w:r>
              <w:rPr>
                <w:rFonts w:ascii="宋体" w:hAnsi="宋体" w:eastAsia="宋体"/>
                <w:color w:val="auto"/>
                <w:sz w:val="21"/>
                <w:szCs w:val="21"/>
                <w:highlight w:val="none"/>
              </w:rPr>
              <w:t>投标报价</w:t>
            </w:r>
          </w:p>
        </w:tc>
        <w:tc>
          <w:tcPr>
            <w:tcW w:w="6836" w:type="dxa"/>
            <w:tcBorders>
              <w:bottom w:val="single" w:color="auto" w:sz="4" w:space="0"/>
            </w:tcBorders>
            <w:noWrap w:val="0"/>
            <w:vAlign w:val="center"/>
          </w:tcPr>
          <w:p>
            <w:pPr>
              <w:ind w:firstLine="420" w:firstLineChars="200"/>
              <w:rPr>
                <w:rFonts w:ascii="宋体" w:hAnsi="宋体" w:eastAsia="宋体"/>
                <w:color w:val="auto"/>
                <w:sz w:val="21"/>
                <w:szCs w:val="21"/>
                <w:highlight w:val="none"/>
              </w:rPr>
            </w:pPr>
            <w:r>
              <w:rPr>
                <w:rFonts w:hint="eastAsia" w:ascii="宋体" w:hAnsi="宋体" w:eastAsia="宋体" w:cs="宋体"/>
                <w:color w:val="auto"/>
                <w:sz w:val="21"/>
                <w:szCs w:val="21"/>
                <w:highlight w:val="none"/>
              </w:rPr>
              <w:t>投标人的投标单价及投标总价均不得高于相对应的最高限价否则按否决投标处理。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trPr>
        <w:tc>
          <w:tcPr>
            <w:tcW w:w="1368" w:type="dxa"/>
            <w:vMerge w:val="restart"/>
            <w:tcBorders>
              <w:top w:val="single" w:color="auto" w:sz="4" w:space="0"/>
            </w:tcBorders>
            <w:noWrap w:val="0"/>
            <w:vAlign w:val="center"/>
          </w:tcPr>
          <w:p>
            <w:pPr>
              <w:jc w:val="center"/>
              <w:rPr>
                <w:rFonts w:ascii="宋体" w:hAnsi="宋体" w:eastAsia="宋体"/>
                <w:color w:val="auto"/>
                <w:sz w:val="21"/>
                <w:szCs w:val="21"/>
                <w:highlight w:val="none"/>
              </w:rPr>
            </w:pPr>
            <w:r>
              <w:rPr>
                <w:rFonts w:ascii="宋体" w:hAnsi="宋体" w:eastAsia="宋体"/>
                <w:color w:val="auto"/>
                <w:sz w:val="21"/>
                <w:szCs w:val="21"/>
                <w:highlight w:val="none"/>
              </w:rPr>
              <w:t>第三章</w:t>
            </w:r>
          </w:p>
          <w:p>
            <w:pPr>
              <w:jc w:val="center"/>
              <w:rPr>
                <w:rFonts w:ascii="宋体" w:hAnsi="宋体" w:eastAsia="宋体" w:cs="宋体"/>
                <w:color w:val="auto"/>
                <w:sz w:val="21"/>
                <w:szCs w:val="21"/>
                <w:highlight w:val="none"/>
              </w:rPr>
            </w:pPr>
            <w:r>
              <w:rPr>
                <w:rFonts w:hint="eastAsia" w:ascii="宋体" w:hAnsi="宋体" w:eastAsia="宋体"/>
                <w:color w:val="auto"/>
                <w:sz w:val="21"/>
                <w:szCs w:val="21"/>
                <w:highlight w:val="none"/>
              </w:rPr>
              <w:t>3.1</w:t>
            </w:r>
          </w:p>
        </w:tc>
        <w:tc>
          <w:tcPr>
            <w:tcW w:w="1260" w:type="dxa"/>
            <w:vMerge w:val="restart"/>
            <w:tcBorders>
              <w:top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6836" w:type="dxa"/>
            <w:tcBorders>
              <w:top w:val="single" w:color="auto" w:sz="4" w:space="0"/>
              <w:bottom w:val="single" w:color="auto" w:sz="4" w:space="0"/>
            </w:tcBorders>
            <w:noWrap w:val="0"/>
            <w:vAlign w:val="center"/>
          </w:tcPr>
          <w:p>
            <w:pPr>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评标委员会依据本章第 2.1 款规定的标准对投标文件进行初步评审。有一项不符合评审标准的，作否决投标处理。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trPr>
        <w:tc>
          <w:tcPr>
            <w:tcW w:w="1368" w:type="dxa"/>
            <w:vMerge w:val="continue"/>
            <w:noWrap w:val="0"/>
            <w:vAlign w:val="center"/>
          </w:tcPr>
          <w:p>
            <w:pPr>
              <w:jc w:val="center"/>
              <w:rPr>
                <w:rFonts w:ascii="宋体" w:hAnsi="宋体" w:eastAsia="宋体"/>
                <w:color w:val="auto"/>
                <w:sz w:val="21"/>
                <w:szCs w:val="21"/>
                <w:highlight w:val="none"/>
              </w:rPr>
            </w:pPr>
          </w:p>
        </w:tc>
        <w:tc>
          <w:tcPr>
            <w:tcW w:w="1260" w:type="dxa"/>
            <w:vMerge w:val="continue"/>
            <w:noWrap w:val="0"/>
            <w:vAlign w:val="center"/>
          </w:tcPr>
          <w:p>
            <w:pPr>
              <w:rPr>
                <w:rFonts w:ascii="宋体" w:hAnsi="宋体" w:eastAsia="宋体"/>
                <w:color w:val="auto"/>
                <w:sz w:val="21"/>
                <w:szCs w:val="21"/>
                <w:highlight w:val="none"/>
              </w:rPr>
            </w:pPr>
          </w:p>
        </w:tc>
        <w:tc>
          <w:tcPr>
            <w:tcW w:w="6836" w:type="dxa"/>
            <w:tcBorders>
              <w:top w:val="single" w:color="auto" w:sz="4" w:space="0"/>
              <w:bottom w:val="single" w:color="auto" w:sz="4" w:space="0"/>
            </w:tcBorders>
            <w:noWrap w:val="0"/>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投标人有以下情形之一的，其投标作否决投标处理：</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（1）第二章“投标人须知”第 1.4.3 项规定的任何一种情形的；</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（2）串通投标或弄虚作假或有其他违法行为的；</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（3）不按评标委员会要求澄清、说明或补正的。</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（4）提供虚假资料（证明文件）。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368" w:type="dxa"/>
            <w:vMerge w:val="continue"/>
            <w:noWrap w:val="0"/>
            <w:vAlign w:val="center"/>
          </w:tcPr>
          <w:p>
            <w:pPr>
              <w:jc w:val="center"/>
              <w:rPr>
                <w:rFonts w:hint="eastAsia" w:ascii="宋体" w:hAnsi="宋体" w:eastAsia="宋体" w:cs="宋体"/>
                <w:color w:val="auto"/>
                <w:sz w:val="21"/>
                <w:szCs w:val="21"/>
                <w:highlight w:val="none"/>
              </w:rPr>
            </w:pPr>
          </w:p>
        </w:tc>
        <w:tc>
          <w:tcPr>
            <w:tcW w:w="1260" w:type="dxa"/>
            <w:vMerge w:val="continue"/>
            <w:noWrap w:val="0"/>
            <w:vAlign w:val="center"/>
          </w:tcPr>
          <w:p>
            <w:pPr>
              <w:jc w:val="center"/>
              <w:rPr>
                <w:rFonts w:hint="eastAsia" w:ascii="宋体" w:hAnsi="宋体" w:eastAsia="宋体" w:cs="宋体"/>
                <w:color w:val="auto"/>
                <w:sz w:val="21"/>
                <w:szCs w:val="21"/>
                <w:highlight w:val="none"/>
              </w:rPr>
            </w:pPr>
          </w:p>
        </w:tc>
        <w:tc>
          <w:tcPr>
            <w:tcW w:w="6836" w:type="dxa"/>
            <w:noWrap w:val="0"/>
            <w:vAlign w:val="center"/>
          </w:tcPr>
          <w:p>
            <w:pPr>
              <w:autoSpaceDE w:val="0"/>
              <w:autoSpaceDN w:val="0"/>
              <w:adjustRightInd w:val="0"/>
              <w:snapToGrid w:val="0"/>
              <w:ind w:firstLine="42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投标报价有算术错误的，评标委员会按以下原则对投标报价进行修正，修正的价格经投标人书面确认后具有约束力。投标人不接受修正价格的，其投标作否决投标处理。</w:t>
            </w:r>
          </w:p>
          <w:p>
            <w:pPr>
              <w:autoSpaceDE w:val="0"/>
              <w:autoSpaceDN w:val="0"/>
              <w:adjustRightInd w:val="0"/>
              <w:snapToGrid w:val="0"/>
              <w:ind w:firstLine="42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（1）投标文件中的大写金额与小写金额不一致的，以大写金额为准；</w:t>
            </w:r>
          </w:p>
          <w:p>
            <w:pP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（2）总价金额与依据单价计算出的结果不一致的，以单价金额为准修正总价，但单价金额小数点有明显错误的除外。</w:t>
            </w:r>
          </w:p>
        </w:tc>
      </w:tr>
    </w:tbl>
    <w:p>
      <w:pPr>
        <w:autoSpaceDE w:val="0"/>
        <w:autoSpaceDN w:val="0"/>
        <w:adjustRightInd w:val="0"/>
        <w:snapToGrid w:val="0"/>
        <w:ind w:firstLine="420"/>
        <w:rPr>
          <w:rFonts w:ascii="宋体" w:hAnsi="宋体" w:eastAsia="宋体" w:cs="宋体"/>
          <w:snapToGrid w:val="0"/>
          <w:color w:val="auto"/>
          <w:kern w:val="0"/>
          <w:szCs w:val="21"/>
          <w:highlight w:val="none"/>
        </w:rPr>
      </w:pPr>
    </w:p>
    <w:p>
      <w:pPr>
        <w:autoSpaceDE/>
        <w:autoSpaceDN/>
        <w:adjustRightInd/>
        <w:snapToGrid/>
        <w:ind w:firstLine="0"/>
        <w:rPr>
          <w:rFonts w:ascii="宋体" w:hAnsi="宋体" w:eastAsia="宋体" w:cs="宋体"/>
          <w:snapToGrid w:val="0"/>
          <w:color w:val="auto"/>
          <w:kern w:val="0"/>
          <w:szCs w:val="21"/>
          <w:highlight w:val="none"/>
        </w:rPr>
      </w:pPr>
      <w:r>
        <w:rPr>
          <w:rFonts w:ascii="宋体" w:hAnsi="宋体" w:eastAsia="宋体" w:cs="宋体"/>
          <w:snapToGrid w:val="0"/>
          <w:color w:val="auto"/>
          <w:kern w:val="0"/>
          <w:szCs w:val="21"/>
          <w:highlight w:val="none"/>
        </w:rPr>
        <w:br w:type="page"/>
      </w:r>
    </w:p>
    <w:p>
      <w:pPr>
        <w:pStyle w:val="2"/>
        <w:rPr>
          <w:color w:val="auto"/>
          <w:highlight w:val="none"/>
        </w:rPr>
      </w:pPr>
    </w:p>
    <w:p>
      <w:pPr>
        <w:pStyle w:val="3"/>
        <w:spacing w:line="0" w:lineRule="atLeast"/>
        <w:jc w:val="center"/>
        <w:rPr>
          <w:rFonts w:ascii="宋体" w:hAnsi="宋体" w:eastAsia="宋体" w:cs="宋体"/>
          <w:snapToGrid w:val="0"/>
          <w:color w:val="auto"/>
          <w:kern w:val="0"/>
          <w:highlight w:val="none"/>
        </w:rPr>
      </w:pPr>
      <w:bookmarkStart w:id="310" w:name="_Toc19778_WPSOffice_Level1"/>
      <w:bookmarkStart w:id="311" w:name="_Toc516620659"/>
      <w:bookmarkStart w:id="312" w:name="_Toc10650"/>
      <w:bookmarkStart w:id="313" w:name="_Toc342252665"/>
      <w:bookmarkStart w:id="314" w:name="_Toc342252481"/>
      <w:r>
        <w:rPr>
          <w:rFonts w:hint="eastAsia" w:ascii="宋体" w:hAnsi="宋体" w:eastAsia="宋体" w:cs="宋体"/>
          <w:snapToGrid w:val="0"/>
          <w:color w:val="auto"/>
          <w:kern w:val="0"/>
          <w:sz w:val="36"/>
          <w:szCs w:val="36"/>
          <w:highlight w:val="none"/>
        </w:rPr>
        <w:t>第四章 合同条款及格式</w:t>
      </w:r>
      <w:bookmarkEnd w:id="310"/>
      <w:bookmarkEnd w:id="311"/>
      <w:bookmarkEnd w:id="312"/>
    </w:p>
    <w:p>
      <w:pPr>
        <w:spacing w:line="480" w:lineRule="auto"/>
        <w:ind w:firstLine="1104" w:firstLineChars="250"/>
        <w:rPr>
          <w:rFonts w:ascii="宋体" w:hAnsi="宋体" w:eastAsia="宋体" w:cs="宋体"/>
          <w:b/>
          <w:color w:val="auto"/>
          <w:sz w:val="44"/>
          <w:szCs w:val="44"/>
          <w:highlight w:val="none"/>
          <w:u w:val="single"/>
        </w:rPr>
      </w:pPr>
    </w:p>
    <w:p>
      <w:pPr>
        <w:spacing w:line="480" w:lineRule="auto"/>
        <w:ind w:firstLine="904" w:firstLineChars="250"/>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pStyle w:val="29"/>
        <w:spacing w:line="276" w:lineRule="auto"/>
        <w:jc w:val="center"/>
        <w:outlineLvl w:val="0"/>
        <w:rPr>
          <w:rStyle w:val="158"/>
          <w:rFonts w:ascii="宋体" w:hAnsi="宋体" w:cs="宋体"/>
          <w:b/>
          <w:bCs/>
          <w:color w:val="auto"/>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lang w:val="en-US" w:eastAsia="zh-CN"/>
        </w:rPr>
        <w:t xml:space="preserve">                   </w:t>
      </w:r>
      <w:bookmarkStart w:id="315" w:name="_Toc6619_WPSOffice_Level2"/>
      <w:bookmarkStart w:id="316" w:name="_Toc15389_WPSOffice_Level3"/>
      <w:r>
        <w:rPr>
          <w:rFonts w:hint="eastAsia" w:ascii="宋体" w:hAnsi="宋体" w:eastAsia="宋体" w:cs="宋体"/>
          <w:b/>
          <w:snapToGrid/>
          <w:color w:val="auto"/>
          <w:w w:val="100"/>
          <w:kern w:val="2"/>
          <w:sz w:val="36"/>
          <w:szCs w:val="36"/>
          <w:highlight w:val="none"/>
          <w:lang w:val="en-US" w:eastAsia="zh-CN"/>
        </w:rPr>
        <w:t xml:space="preserve">  </w:t>
      </w:r>
      <w:bookmarkStart w:id="317" w:name="_Toc21910"/>
    </w:p>
    <w:bookmarkEnd w:id="315"/>
    <w:bookmarkEnd w:id="316"/>
    <w:bookmarkEnd w:id="317"/>
    <w:p>
      <w:pPr>
        <w:widowControl/>
        <w:spacing w:line="360" w:lineRule="auto"/>
        <w:jc w:val="center"/>
        <w:rPr>
          <w:rFonts w:hint="eastAsia" w:ascii="宋体" w:hAnsi="宋体" w:eastAsia="宋体" w:cs="宋体"/>
          <w:b/>
          <w:snapToGrid w:val="0"/>
          <w:color w:val="auto"/>
          <w:w w:val="99"/>
          <w:kern w:val="0"/>
          <w:sz w:val="32"/>
          <w:szCs w:val="32"/>
          <w:highlight w:val="none"/>
          <w:lang w:eastAsia="zh-CN"/>
        </w:rPr>
      </w:pPr>
      <w:bookmarkStart w:id="318" w:name="_Toc31676_WPSOffice_Level1"/>
      <w:bookmarkStart w:id="319" w:name="_Toc6496"/>
      <w:bookmarkStart w:id="320" w:name="_Toc516620660"/>
      <w:r>
        <w:rPr>
          <w:rFonts w:hint="eastAsia" w:ascii="宋体" w:hAnsi="宋体" w:eastAsia="宋体" w:cs="宋体"/>
          <w:b/>
          <w:snapToGrid w:val="0"/>
          <w:color w:val="auto"/>
          <w:w w:val="99"/>
          <w:kern w:val="0"/>
          <w:sz w:val="32"/>
          <w:szCs w:val="32"/>
          <w:highlight w:val="none"/>
          <w:lang w:eastAsia="zh-CN"/>
        </w:rPr>
        <w:t>重庆水资源产业股份有限公司供水客服话务中心服务外包项目</w:t>
      </w:r>
    </w:p>
    <w:p>
      <w:pPr>
        <w:widowControl/>
        <w:spacing w:line="360" w:lineRule="auto"/>
        <w:jc w:val="center"/>
        <w:rPr>
          <w:rFonts w:hint="eastAsia" w:ascii="宋体" w:hAnsi="宋体" w:eastAsia="宋体" w:cs="宋体"/>
          <w:b/>
          <w:snapToGrid w:val="0"/>
          <w:color w:val="auto"/>
          <w:w w:val="99"/>
          <w:kern w:val="0"/>
          <w:sz w:val="32"/>
          <w:szCs w:val="32"/>
          <w:highlight w:val="none"/>
          <w:lang w:val="en-US" w:eastAsia="zh-CN"/>
        </w:rPr>
      </w:pPr>
      <w:r>
        <w:rPr>
          <w:rFonts w:hint="eastAsia" w:ascii="宋体" w:hAnsi="宋体" w:eastAsia="宋体" w:cs="宋体"/>
          <w:b/>
          <w:snapToGrid w:val="0"/>
          <w:color w:val="auto"/>
          <w:w w:val="99"/>
          <w:kern w:val="0"/>
          <w:sz w:val="32"/>
          <w:szCs w:val="32"/>
          <w:highlight w:val="none"/>
          <w:lang w:val="en-US" w:eastAsia="zh-CN"/>
        </w:rPr>
        <w:t>合同</w:t>
      </w:r>
      <w:r>
        <w:rPr>
          <w:rFonts w:hint="eastAsia" w:ascii="宋体" w:hAnsi="宋体" w:eastAsia="宋体" w:cs="宋体"/>
          <w:b/>
          <w:snapToGrid w:val="0"/>
          <w:color w:val="auto"/>
          <w:w w:val="99"/>
          <w:kern w:val="0"/>
          <w:sz w:val="32"/>
          <w:szCs w:val="32"/>
          <w:highlight w:val="none"/>
          <w:lang w:eastAsia="zh-CN"/>
        </w:rPr>
        <w:t>协议</w:t>
      </w:r>
      <w:r>
        <w:rPr>
          <w:rFonts w:hint="eastAsia" w:ascii="宋体" w:hAnsi="宋体" w:eastAsia="宋体" w:cs="宋体"/>
          <w:b/>
          <w:snapToGrid w:val="0"/>
          <w:color w:val="auto"/>
          <w:w w:val="99"/>
          <w:kern w:val="0"/>
          <w:sz w:val="32"/>
          <w:szCs w:val="32"/>
          <w:highlight w:val="none"/>
          <w:lang w:val="en-US" w:eastAsia="zh-CN"/>
        </w:rPr>
        <w:t>书</w:t>
      </w:r>
    </w:p>
    <w:p>
      <w:pPr>
        <w:widowControl/>
        <w:spacing w:line="360" w:lineRule="auto"/>
        <w:jc w:val="left"/>
        <w:rPr>
          <w:rFonts w:ascii="仿宋_GB2312" w:hAnsi="仿宋_GB2312" w:eastAsia="仿宋_GB2312" w:cs="仿宋_GB2312"/>
          <w:kern w:val="0"/>
          <w:sz w:val="24"/>
        </w:rPr>
      </w:pPr>
    </w:p>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甲方：重庆水资源产业股份有限公司</w:t>
      </w:r>
    </w:p>
    <w:p>
      <w:pPr>
        <w:widowControl/>
        <w:spacing w:line="360" w:lineRule="auto"/>
        <w:jc w:val="left"/>
        <w:rPr>
          <w:rFonts w:hint="eastAsia" w:ascii="宋体" w:hAnsi="宋体" w:eastAsia="宋体" w:cs="宋体"/>
          <w:kern w:val="0"/>
          <w:sz w:val="24"/>
        </w:rPr>
      </w:pPr>
    </w:p>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乙方： </w:t>
      </w:r>
    </w:p>
    <w:p>
      <w:pPr>
        <w:widowControl/>
        <w:spacing w:line="360" w:lineRule="auto"/>
        <w:jc w:val="left"/>
        <w:rPr>
          <w:rFonts w:hint="eastAsia" w:ascii="宋体" w:hAnsi="宋体" w:eastAsia="宋体" w:cs="宋体"/>
          <w:b/>
          <w:bCs/>
          <w:kern w:val="0"/>
          <w:sz w:val="24"/>
        </w:rPr>
      </w:pP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根据《中华人民共和国民法典》及相关法律法规的规定，甲乙双方在平等、自愿、公平、协商一致的基础上，就甲方委托乙方提供</w:t>
      </w:r>
      <w:r>
        <w:rPr>
          <w:rFonts w:hint="eastAsia" w:ascii="宋体" w:hAnsi="宋体" w:eastAsia="宋体" w:cs="宋体"/>
          <w:sz w:val="24"/>
        </w:rPr>
        <w:t>“</w:t>
      </w:r>
      <w:r>
        <w:rPr>
          <w:rFonts w:hint="eastAsia" w:ascii="宋体" w:hAnsi="宋体" w:eastAsia="宋体" w:cs="宋体"/>
          <w:sz w:val="24"/>
          <w:lang w:eastAsia="zh-CN"/>
        </w:rPr>
        <w:t>重庆水资源产业股份有限公司供水客服话务中心服务外包项目</w:t>
      </w:r>
      <w:r>
        <w:rPr>
          <w:rFonts w:hint="eastAsia" w:ascii="宋体" w:hAnsi="宋体" w:eastAsia="宋体" w:cs="宋体"/>
          <w:sz w:val="24"/>
        </w:rPr>
        <w:t>”</w:t>
      </w:r>
      <w:r>
        <w:rPr>
          <w:rFonts w:hint="eastAsia" w:ascii="宋体" w:hAnsi="宋体" w:eastAsia="宋体" w:cs="宋体"/>
          <w:kern w:val="0"/>
          <w:sz w:val="24"/>
        </w:rPr>
        <w:t>热线项目外包服务的有关事宜达成如下协议：</w:t>
      </w:r>
    </w:p>
    <w:p>
      <w:pPr>
        <w:pStyle w:val="3"/>
        <w:numPr>
          <w:ilvl w:val="0"/>
          <w:numId w:val="0"/>
        </w:numPr>
        <w:rPr>
          <w:rFonts w:hint="eastAsia" w:ascii="宋体" w:hAnsi="宋体" w:eastAsia="宋体" w:cs="宋体"/>
          <w:sz w:val="24"/>
          <w:szCs w:val="24"/>
        </w:rPr>
      </w:pPr>
      <w:bookmarkStart w:id="321" w:name="_Toc30331"/>
      <w:bookmarkStart w:id="322" w:name="_Toc10188"/>
      <w:r>
        <w:rPr>
          <w:rFonts w:hint="eastAsia" w:ascii="宋体" w:hAnsi="宋体" w:eastAsia="宋体" w:cs="宋体"/>
          <w:sz w:val="24"/>
          <w:szCs w:val="24"/>
        </w:rPr>
        <w:t>一、外包服务内容及要求</w:t>
      </w:r>
      <w:bookmarkEnd w:id="321"/>
      <w:bookmarkEnd w:id="322"/>
      <w:r>
        <w:rPr>
          <w:rFonts w:hint="eastAsia" w:ascii="宋体" w:hAnsi="宋体" w:eastAsia="宋体" w:cs="宋体"/>
          <w:sz w:val="24"/>
          <w:szCs w:val="24"/>
        </w:rPr>
        <w:t xml:space="preserve"> </w:t>
      </w:r>
    </w:p>
    <w:p>
      <w:pPr>
        <w:widowControl/>
        <w:numPr>
          <w:ilvl w:val="0"/>
          <w:numId w:val="3"/>
        </w:numPr>
        <w:spacing w:line="360" w:lineRule="auto"/>
        <w:jc w:val="left"/>
        <w:rPr>
          <w:rFonts w:hint="eastAsia" w:ascii="宋体" w:hAnsi="宋体" w:eastAsia="宋体" w:cs="宋体"/>
          <w:kern w:val="0"/>
          <w:sz w:val="24"/>
        </w:rPr>
      </w:pPr>
      <w:r>
        <w:rPr>
          <w:rFonts w:hint="eastAsia" w:ascii="宋体" w:hAnsi="宋体" w:eastAsia="宋体" w:cs="宋体"/>
          <w:kern w:val="0"/>
          <w:sz w:val="24"/>
        </w:rPr>
        <w:t>乙方自甲、乙双方确认的启动时间起（即完成系统搭建，满足具备试运行所需的硬件、软件、人员等条件），承接甲方的</w:t>
      </w:r>
      <w:r>
        <w:rPr>
          <w:rFonts w:hint="eastAsia" w:ascii="宋体" w:hAnsi="宋体" w:eastAsia="宋体" w:cs="宋体"/>
          <w:sz w:val="24"/>
        </w:rPr>
        <w:t>“供水客服话务中心”热线</w:t>
      </w:r>
      <w:r>
        <w:rPr>
          <w:rFonts w:hint="eastAsia" w:ascii="宋体" w:hAnsi="宋体" w:eastAsia="宋体" w:cs="宋体"/>
          <w:kern w:val="0"/>
          <w:sz w:val="24"/>
        </w:rPr>
        <w:t>项目外包服务。</w:t>
      </w:r>
    </w:p>
    <w:p>
      <w:pPr>
        <w:widowControl/>
        <w:numPr>
          <w:ilvl w:val="0"/>
          <w:numId w:val="3"/>
        </w:numPr>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乙方提供</w:t>
      </w:r>
      <w:r>
        <w:rPr>
          <w:rFonts w:hint="eastAsia" w:ascii="宋体" w:hAnsi="宋体" w:eastAsia="宋体" w:cs="宋体"/>
          <w:sz w:val="24"/>
        </w:rPr>
        <w:t>“供水客服话务中心”热线</w:t>
      </w:r>
      <w:r>
        <w:rPr>
          <w:rFonts w:hint="eastAsia" w:ascii="宋体" w:hAnsi="宋体" w:eastAsia="宋体" w:cs="宋体"/>
          <w:color w:val="000000"/>
          <w:kern w:val="0"/>
          <w:sz w:val="24"/>
        </w:rPr>
        <w:t>运营服务（提供7*24小时且白班在岗坐席不少于3席、夜班在岗坐席至少1席的人工话务服务，知识库、工单处理）、云呼叫中心平台服务（话务平台、工单流接口、通信服务）、坐席场地和申请96码号并提供码号运行的技术支持等。</w:t>
      </w:r>
    </w:p>
    <w:p>
      <w:pPr>
        <w:widowControl/>
        <w:numPr>
          <w:ilvl w:val="0"/>
          <w:numId w:val="3"/>
        </w:numPr>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为更好地履行本协议，在项目启动前，乙方需协助甲方完成96码号申请，完成与营收系统对接、客服人员及管理人员招聘、培训等工作，满足系统试运行所需的全部条件，项目投入试运行开始，甲方按月支付相应的服务费用。</w:t>
      </w:r>
    </w:p>
    <w:p>
      <w:pPr>
        <w:pStyle w:val="3"/>
        <w:numPr>
          <w:ilvl w:val="0"/>
          <w:numId w:val="0"/>
        </w:numPr>
        <w:rPr>
          <w:rFonts w:hint="eastAsia" w:ascii="宋体" w:hAnsi="宋体" w:eastAsia="宋体" w:cs="宋体"/>
          <w:sz w:val="24"/>
          <w:szCs w:val="24"/>
        </w:rPr>
      </w:pPr>
      <w:bookmarkStart w:id="323" w:name="_Toc2125"/>
      <w:bookmarkStart w:id="324" w:name="_Toc18322"/>
      <w:r>
        <w:rPr>
          <w:rFonts w:hint="eastAsia" w:ascii="宋体" w:hAnsi="宋体" w:eastAsia="宋体" w:cs="宋体"/>
          <w:sz w:val="24"/>
          <w:szCs w:val="24"/>
        </w:rPr>
        <w:t>二、甲方的权利及义务</w:t>
      </w:r>
      <w:bookmarkEnd w:id="323"/>
      <w:bookmarkEnd w:id="324"/>
    </w:p>
    <w:p>
      <w:pPr>
        <w:pStyle w:val="155"/>
        <w:widowControl/>
        <w:numPr>
          <w:ilvl w:val="0"/>
          <w:numId w:val="0"/>
        </w:numPr>
        <w:spacing w:line="360" w:lineRule="auto"/>
        <w:ind w:leftChars="0"/>
        <w:jc w:val="left"/>
        <w:rPr>
          <w:rFonts w:hint="eastAsia" w:ascii="宋体" w:hAnsi="宋体" w:eastAsia="宋体" w:cs="宋体"/>
          <w:kern w:val="0"/>
          <w:sz w:val="24"/>
        </w:rPr>
      </w:pP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甲方有权根据项目发展需求制定调整相应的服务规范，并提前7个工作日通知乙方。乙方以及乙方服务人员应在收到甲方通知后予以配合和执行。</w:t>
      </w:r>
    </w:p>
    <w:p>
      <w:pPr>
        <w:pStyle w:val="155"/>
        <w:widowControl/>
        <w:numPr>
          <w:ilvl w:val="0"/>
          <w:numId w:val="0"/>
        </w:numPr>
        <w:spacing w:line="360" w:lineRule="auto"/>
        <w:ind w:leftChars="0"/>
        <w:jc w:val="left"/>
        <w:rPr>
          <w:rFonts w:hint="eastAsia" w:ascii="宋体" w:hAnsi="宋体" w:eastAsia="宋体" w:cs="宋体"/>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 xml:space="preserve">甲方有权监督记录乙方服务人员的工作情况，以确保乙方适当履行本协议中全部义务，按照合同约定适当提供合格服务。 </w:t>
      </w:r>
    </w:p>
    <w:p>
      <w:pPr>
        <w:pStyle w:val="155"/>
        <w:widowControl/>
        <w:numPr>
          <w:ilvl w:val="0"/>
          <w:numId w:val="0"/>
        </w:numPr>
        <w:spacing w:line="360" w:lineRule="auto"/>
        <w:ind w:leftChars="0"/>
        <w:jc w:val="left"/>
        <w:rPr>
          <w:rFonts w:hint="eastAsia" w:ascii="宋体" w:hAnsi="宋体" w:eastAsia="宋体" w:cs="宋体"/>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 xml:space="preserve">甲方有权要求乙方提供乙方及其服务人员与服务相关的资料，以确保乙方提供的服务人员及服务符合本协议约定。 </w:t>
      </w:r>
    </w:p>
    <w:p>
      <w:pPr>
        <w:pStyle w:val="155"/>
        <w:widowControl/>
        <w:numPr>
          <w:ilvl w:val="0"/>
          <w:numId w:val="0"/>
        </w:numPr>
        <w:spacing w:line="360" w:lineRule="auto"/>
        <w:ind w:leftChars="0"/>
        <w:jc w:val="left"/>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乙方服务人员有任何违反本协议要求或甲方服务规范、考评办法等规章制度的行为，甲方有权要求乙方整改或更换服务人员。乙方应在收到整改或更换要求后七日内根据甲方意见进行整改或对服务人员进行更换。</w:t>
      </w:r>
    </w:p>
    <w:p>
      <w:pPr>
        <w:pStyle w:val="155"/>
        <w:widowControl/>
        <w:numPr>
          <w:ilvl w:val="0"/>
          <w:numId w:val="0"/>
        </w:numPr>
        <w:spacing w:line="360" w:lineRule="auto"/>
        <w:ind w:leftChars="0"/>
        <w:jc w:val="left"/>
        <w:rPr>
          <w:rFonts w:hint="eastAsia" w:ascii="宋体" w:hAnsi="宋体" w:eastAsia="宋体" w:cs="宋体"/>
          <w:kern w:val="0"/>
          <w:sz w:val="24"/>
        </w:rPr>
      </w:pP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甲方对乙方服务支撑外包工作进行月度指标考核。</w:t>
      </w:r>
    </w:p>
    <w:p>
      <w:pPr>
        <w:pStyle w:val="155"/>
        <w:widowControl/>
        <w:numPr>
          <w:ilvl w:val="0"/>
          <w:numId w:val="0"/>
        </w:numPr>
        <w:spacing w:line="360" w:lineRule="auto"/>
        <w:ind w:leftChars="0"/>
        <w:jc w:val="left"/>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rPr>
        <w:t>若乙方连续三个自然月或一年内达到六个自然月总考核得分低</w:t>
      </w:r>
      <w:r>
        <w:rPr>
          <w:rFonts w:hint="eastAsia" w:ascii="宋体" w:hAnsi="宋体" w:eastAsia="宋体" w:cs="宋体"/>
          <w:color w:val="auto"/>
          <w:kern w:val="0"/>
          <w:sz w:val="24"/>
        </w:rPr>
        <w:t>于</w:t>
      </w:r>
      <w:r>
        <w:rPr>
          <w:rFonts w:hint="eastAsia" w:ascii="宋体" w:hAnsi="宋体" w:eastAsia="宋体" w:cs="宋体"/>
          <w:b/>
          <w:bCs/>
          <w:color w:val="auto"/>
          <w:kern w:val="0"/>
          <w:sz w:val="24"/>
        </w:rPr>
        <w:t>80分</w:t>
      </w:r>
      <w:r>
        <w:rPr>
          <w:rFonts w:hint="eastAsia" w:ascii="宋体" w:hAnsi="宋体" w:eastAsia="宋体" w:cs="宋体"/>
          <w:color w:val="auto"/>
          <w:kern w:val="0"/>
          <w:sz w:val="24"/>
        </w:rPr>
        <w:t>，</w:t>
      </w:r>
      <w:r>
        <w:rPr>
          <w:rFonts w:hint="eastAsia" w:ascii="宋体" w:hAnsi="宋体" w:eastAsia="宋体" w:cs="宋体"/>
          <w:color w:val="000000"/>
          <w:kern w:val="0"/>
          <w:sz w:val="24"/>
        </w:rPr>
        <w:t>则甲方有权解除本协议。并从接解除议日起，停止支付后续服务费用。</w:t>
      </w:r>
    </w:p>
    <w:p>
      <w:pPr>
        <w:pStyle w:val="155"/>
        <w:widowControl/>
        <w:numPr>
          <w:ilvl w:val="0"/>
          <w:numId w:val="0"/>
        </w:numPr>
        <w:spacing w:line="360" w:lineRule="auto"/>
        <w:ind w:leftChars="0"/>
        <w:jc w:val="left"/>
        <w:rPr>
          <w:rFonts w:hint="eastAsia" w:ascii="宋体" w:hAnsi="宋体" w:eastAsia="宋体" w:cs="宋体"/>
          <w:kern w:val="0"/>
          <w:sz w:val="24"/>
        </w:rPr>
      </w:pPr>
      <w:r>
        <w:rPr>
          <w:rFonts w:hint="eastAsia" w:ascii="宋体" w:hAnsi="宋体" w:eastAsia="宋体" w:cs="宋体"/>
          <w:color w:val="000000"/>
          <w:kern w:val="0"/>
          <w:sz w:val="24"/>
          <w:lang w:val="en-US" w:eastAsia="zh-CN"/>
        </w:rPr>
        <w:t>7、</w:t>
      </w:r>
      <w:r>
        <w:rPr>
          <w:rFonts w:hint="eastAsia" w:ascii="宋体" w:hAnsi="宋体" w:eastAsia="宋体" w:cs="宋体"/>
          <w:color w:val="000000"/>
          <w:kern w:val="0"/>
          <w:sz w:val="24"/>
        </w:rPr>
        <w:t xml:space="preserve">甲方有权对乙方的人员到位、业务操作、安全保障等情况进行检查，如发现不符合本协议约定或对履行本协议产生不利影响的情况，甲方有权要求乙方限期整改。 </w:t>
      </w:r>
    </w:p>
    <w:p>
      <w:pPr>
        <w:pStyle w:val="3"/>
        <w:numPr>
          <w:ilvl w:val="0"/>
          <w:numId w:val="0"/>
        </w:numPr>
        <w:rPr>
          <w:rFonts w:hint="eastAsia" w:ascii="宋体" w:hAnsi="宋体" w:eastAsia="宋体" w:cs="宋体"/>
          <w:sz w:val="24"/>
          <w:szCs w:val="24"/>
        </w:rPr>
      </w:pPr>
      <w:bookmarkStart w:id="325" w:name="_Toc26044"/>
      <w:bookmarkStart w:id="326" w:name="_Toc27701"/>
      <w:r>
        <w:rPr>
          <w:rFonts w:hint="eastAsia" w:ascii="宋体" w:hAnsi="宋体" w:eastAsia="宋体" w:cs="宋体"/>
          <w:sz w:val="24"/>
          <w:szCs w:val="24"/>
        </w:rPr>
        <w:t>三、乙方的权利及义务</w:t>
      </w:r>
      <w:bookmarkEnd w:id="325"/>
      <w:bookmarkEnd w:id="326"/>
    </w:p>
    <w:p>
      <w:pPr>
        <w:widowControl/>
        <w:numPr>
          <w:ilvl w:val="0"/>
          <w:numId w:val="4"/>
        </w:numPr>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乙方负责热线运营，服务人员劳动用工管理，人员招聘，人员替换及补充服务，人员基础技能培训，突发事件管理、薪资发放、社保办理、入离职办理等等。</w:t>
      </w:r>
    </w:p>
    <w:p>
      <w:pPr>
        <w:widowControl/>
        <w:numPr>
          <w:ilvl w:val="0"/>
          <w:numId w:val="4"/>
        </w:numPr>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 xml:space="preserve">乙方应与本项目的每位工作人员签署《保密协议》，并严格依照本协议及《保密协议》的约定执行保密措施和人员保密行为管理；乙方应建立完善可行的保密制度，加强服务人员的行为规范、保密培训教育和保密管理，定期开展服务人员的保密培训。 </w:t>
      </w:r>
    </w:p>
    <w:p>
      <w:pPr>
        <w:widowControl/>
        <w:numPr>
          <w:ilvl w:val="0"/>
          <w:numId w:val="4"/>
        </w:numPr>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就本协议约定的热线业务，乙方必须明确乙方项目负责人，乙方有义务及责任不断提升甲方业务的各项指标交付结果及服务质量结果。</w:t>
      </w:r>
    </w:p>
    <w:p>
      <w:pPr>
        <w:widowControl/>
        <w:numPr>
          <w:ilvl w:val="0"/>
          <w:numId w:val="4"/>
        </w:numPr>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乙方需及时向甲方通告本项目服务范围内有关服务的重大事项，及时配合处理投诉。</w:t>
      </w:r>
    </w:p>
    <w:p>
      <w:pPr>
        <w:widowControl/>
        <w:numPr>
          <w:ilvl w:val="0"/>
          <w:numId w:val="4"/>
        </w:numPr>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乙方根据本合同进行业务运营工作时，应使用甲方的名义并积极维护甲方的市场名誉和信誉，不得做出任何有损甲方和甲方用户利益的事情或言行，不得利用甲方名义进行与本合同约定无关的任何活动及项目。</w:t>
      </w:r>
    </w:p>
    <w:p>
      <w:pPr>
        <w:widowControl/>
        <w:numPr>
          <w:ilvl w:val="0"/>
          <w:numId w:val="4"/>
        </w:numPr>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根据</w:t>
      </w:r>
      <w:r>
        <w:rPr>
          <w:rFonts w:hint="eastAsia" w:ascii="宋体" w:hAnsi="宋体" w:eastAsia="宋体" w:cs="宋体"/>
          <w:sz w:val="24"/>
        </w:rPr>
        <w:t>“供水客服话务中心”</w:t>
      </w:r>
      <w:r>
        <w:rPr>
          <w:rFonts w:hint="eastAsia" w:ascii="宋体" w:hAnsi="宋体" w:eastAsia="宋体" w:cs="宋体"/>
          <w:kern w:val="0"/>
          <w:sz w:val="24"/>
        </w:rPr>
        <w:t>项目</w:t>
      </w:r>
      <w:r>
        <w:rPr>
          <w:rFonts w:hint="eastAsia" w:ascii="宋体" w:hAnsi="宋体" w:eastAsia="宋体" w:cs="宋体"/>
          <w:color w:val="000000"/>
          <w:kern w:val="0"/>
          <w:sz w:val="24"/>
        </w:rPr>
        <w:t>业务增长及减少情况，乙方可向甲方申请扩大或减小坐席队伍规模，并提供坐席规模扩大或减小后相应的费用增减申请表，经甲方批准后，乙方应快速完成人员增</w:t>
      </w:r>
      <w:r>
        <w:rPr>
          <w:rFonts w:hint="eastAsia" w:ascii="宋体" w:hAnsi="宋体" w:eastAsia="宋体" w:cs="宋体"/>
          <w:color w:val="000000"/>
          <w:kern w:val="0"/>
          <w:sz w:val="24"/>
          <w:lang w:val="en-US" w:eastAsia="zh-CN"/>
        </w:rPr>
        <w:t>减</w:t>
      </w:r>
      <w:r>
        <w:rPr>
          <w:rFonts w:hint="eastAsia" w:ascii="宋体" w:hAnsi="宋体" w:eastAsia="宋体" w:cs="宋体"/>
          <w:color w:val="000000"/>
          <w:kern w:val="0"/>
          <w:sz w:val="24"/>
        </w:rPr>
        <w:t>，甲方自坐席增减到位当天起，后续按实际到位坐席量进行结算。</w:t>
      </w:r>
    </w:p>
    <w:p>
      <w:pPr>
        <w:pStyle w:val="3"/>
        <w:numPr>
          <w:ilvl w:val="0"/>
          <w:numId w:val="0"/>
        </w:numPr>
        <w:rPr>
          <w:rFonts w:hint="eastAsia" w:ascii="宋体" w:hAnsi="宋体" w:eastAsia="宋体" w:cs="宋体"/>
          <w:sz w:val="24"/>
          <w:szCs w:val="24"/>
        </w:rPr>
      </w:pPr>
      <w:bookmarkStart w:id="327" w:name="_Toc21436"/>
      <w:bookmarkStart w:id="328" w:name="_Toc31062"/>
      <w:r>
        <w:rPr>
          <w:rFonts w:hint="eastAsia" w:ascii="宋体" w:hAnsi="宋体" w:eastAsia="宋体" w:cs="宋体"/>
          <w:sz w:val="24"/>
          <w:szCs w:val="24"/>
        </w:rPr>
        <w:t>四、服务期限</w:t>
      </w:r>
      <w:bookmarkEnd w:id="327"/>
      <w:bookmarkEnd w:id="328"/>
      <w:r>
        <w:rPr>
          <w:rFonts w:hint="eastAsia" w:ascii="宋体" w:hAnsi="宋体" w:eastAsia="宋体" w:cs="宋体"/>
          <w:sz w:val="24"/>
          <w:szCs w:val="24"/>
        </w:rPr>
        <w:t xml:space="preserve"> </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本合同服务期限24个月，首期合同期限自2023年X月X日起至2025年X月X日止。</w:t>
      </w:r>
    </w:p>
    <w:p>
      <w:pPr>
        <w:pStyle w:val="3"/>
        <w:numPr>
          <w:ilvl w:val="0"/>
          <w:numId w:val="0"/>
        </w:numPr>
        <w:rPr>
          <w:rFonts w:hint="eastAsia" w:ascii="宋体" w:hAnsi="宋体" w:eastAsia="宋体" w:cs="宋体"/>
          <w:sz w:val="24"/>
          <w:szCs w:val="24"/>
        </w:rPr>
      </w:pPr>
      <w:bookmarkStart w:id="329" w:name="_Toc22675"/>
      <w:bookmarkStart w:id="330" w:name="_Toc11637"/>
      <w:r>
        <w:rPr>
          <w:rFonts w:hint="eastAsia" w:ascii="宋体" w:hAnsi="宋体" w:eastAsia="宋体" w:cs="宋体"/>
          <w:sz w:val="24"/>
          <w:szCs w:val="24"/>
        </w:rPr>
        <w:t>五、合同价款及付款方式</w:t>
      </w:r>
      <w:bookmarkEnd w:id="329"/>
      <w:bookmarkEnd w:id="330"/>
    </w:p>
    <w:p>
      <w:pPr>
        <w:pStyle w:val="17"/>
        <w:ind w:left="0" w:leftChars="0" w:firstLine="0" w:firstLineChars="0"/>
        <w:rPr>
          <w:rFonts w:hint="eastAsia" w:ascii="宋体" w:hAnsi="宋体" w:eastAsia="宋体" w:cs="宋体"/>
          <w:color w:val="auto"/>
          <w:kern w:val="0"/>
          <w:lang w:val="zh-CN"/>
        </w:rPr>
      </w:pPr>
      <w:r>
        <w:rPr>
          <w:rFonts w:hint="eastAsia" w:ascii="宋体" w:hAnsi="宋体" w:eastAsia="宋体" w:cs="宋体"/>
          <w:color w:val="auto"/>
          <w:kern w:val="0"/>
        </w:rPr>
        <w:t>1.</w:t>
      </w:r>
      <w:r>
        <w:rPr>
          <w:rFonts w:hint="eastAsia" w:ascii="宋体" w:hAnsi="宋体" w:eastAsia="宋体" w:cs="宋体"/>
          <w:color w:val="auto"/>
          <w:kern w:val="0"/>
          <w:lang w:val="zh-CN"/>
        </w:rPr>
        <w:t>首期合同含税价款总额为：</w:t>
      </w:r>
    </w:p>
    <w:p>
      <w:pPr>
        <w:tabs>
          <w:tab w:val="left" w:pos="2400"/>
          <w:tab w:val="left" w:pos="2700"/>
          <w:tab w:val="left" w:pos="3000"/>
          <w:tab w:val="left" w:pos="3300"/>
          <w:tab w:val="left" w:pos="3600"/>
        </w:tabs>
        <w:autoSpaceDE w:val="0"/>
        <w:autoSpaceDN w:val="0"/>
        <w:adjustRightInd w:val="0"/>
        <w:spacing w:line="480" w:lineRule="auto"/>
        <w:ind w:left="0" w:firstLine="480" w:firstLineChars="200"/>
        <w:jc w:val="left"/>
        <w:rPr>
          <w:rFonts w:hint="eastAsia" w:ascii="宋体" w:hAnsi="宋体" w:eastAsia="宋体" w:cs="宋体"/>
          <w:bCs w:val="0"/>
          <w:color w:val="auto"/>
          <w:kern w:val="0"/>
          <w:sz w:val="24"/>
          <w:lang w:val="zh-CN" w:bidi="ar-SA"/>
        </w:rPr>
      </w:pPr>
      <w:r>
        <w:rPr>
          <w:rFonts w:hint="eastAsia" w:ascii="宋体" w:hAnsi="宋体" w:eastAsia="宋体" w:cs="宋体"/>
          <w:bCs w:val="0"/>
          <w:color w:val="auto"/>
          <w:kern w:val="0"/>
          <w:sz w:val="24"/>
          <w:lang w:val="zh-CN" w:bidi="ar-SA"/>
        </w:rPr>
        <w:t>本项目不设预付款项，待项目满足试运行条件起开始按月支付服务费，每月服务费为中标金额÷24。</w:t>
      </w:r>
    </w:p>
    <w:p>
      <w:pPr>
        <w:numPr>
          <w:ilvl w:val="0"/>
          <w:numId w:val="5"/>
        </w:numPr>
        <w:adjustRightInd w:val="0"/>
        <w:spacing w:line="480" w:lineRule="auto"/>
        <w:ind w:firstLine="120" w:firstLineChars="50"/>
        <w:jc w:val="left"/>
        <w:rPr>
          <w:rFonts w:hint="eastAsia" w:ascii="宋体" w:hAnsi="宋体" w:eastAsia="宋体" w:cs="宋体"/>
          <w:color w:val="auto"/>
          <w:kern w:val="0"/>
          <w:sz w:val="24"/>
          <w:lang w:val="zh-CN" w:bidi="ar-SA"/>
        </w:rPr>
      </w:pPr>
      <w:r>
        <w:rPr>
          <w:rFonts w:hint="eastAsia" w:ascii="宋体" w:hAnsi="宋体" w:eastAsia="宋体" w:cs="宋体"/>
          <w:color w:val="auto"/>
          <w:kern w:val="0"/>
          <w:sz w:val="24"/>
          <w:lang w:val="zh-CN"/>
        </w:rPr>
        <w:t>付款方式：</w:t>
      </w:r>
      <w:r>
        <w:rPr>
          <w:rFonts w:hint="eastAsia" w:ascii="宋体" w:hAnsi="宋体" w:eastAsia="宋体" w:cs="宋体"/>
          <w:color w:val="auto"/>
          <w:kern w:val="0"/>
          <w:sz w:val="24"/>
          <w:lang w:val="zh-CN" w:bidi="ar-SA"/>
        </w:rPr>
        <w:t>按月支付，每月根据考核情况支付上月费用</w:t>
      </w:r>
    </w:p>
    <w:p>
      <w:pPr>
        <w:numPr>
          <w:ilvl w:val="0"/>
          <w:numId w:val="5"/>
        </w:numPr>
        <w:adjustRightInd w:val="0"/>
        <w:spacing w:line="480" w:lineRule="auto"/>
        <w:ind w:firstLine="120" w:firstLineChars="50"/>
        <w:jc w:val="left"/>
        <w:rPr>
          <w:rFonts w:hint="eastAsia" w:ascii="宋体" w:hAnsi="宋体" w:eastAsia="宋体" w:cs="宋体"/>
          <w:color w:val="auto"/>
          <w:kern w:val="0"/>
          <w:sz w:val="24"/>
          <w:lang w:val="zh-CN" w:bidi="ar-SA"/>
        </w:rPr>
      </w:pPr>
      <w:r>
        <w:rPr>
          <w:rFonts w:hint="eastAsia" w:ascii="宋体" w:hAnsi="宋体" w:eastAsia="宋体" w:cs="宋体"/>
          <w:color w:val="auto"/>
          <w:kern w:val="0"/>
          <w:sz w:val="24"/>
          <w:lang w:val="zh-CN" w:bidi="ar-SA"/>
        </w:rPr>
        <w:t>服务费总价（按月结算）</w:t>
      </w:r>
    </w:p>
    <w:p>
      <w:pPr>
        <w:spacing w:line="480" w:lineRule="auto"/>
        <w:ind w:firstLine="120" w:firstLineChars="50"/>
        <w:rPr>
          <w:rFonts w:hint="eastAsia" w:ascii="宋体" w:hAnsi="宋体" w:eastAsia="宋体" w:cs="宋体"/>
          <w:color w:val="auto"/>
          <w:kern w:val="0"/>
          <w:sz w:val="24"/>
          <w:lang w:val="en-GB" w:bidi="ar"/>
        </w:rPr>
      </w:pPr>
      <w:r>
        <w:rPr>
          <w:rFonts w:hint="eastAsia" w:ascii="宋体" w:hAnsi="宋体" w:eastAsia="宋体" w:cs="宋体"/>
          <w:color w:val="auto"/>
          <w:kern w:val="0"/>
          <w:sz w:val="24"/>
          <w:lang w:val="zh-CN" w:bidi="ar-SA"/>
        </w:rPr>
        <w:t>3.1结算说明：</w:t>
      </w:r>
      <w:bookmarkStart w:id="331" w:name="_Hlk104903010"/>
      <w:r>
        <w:rPr>
          <w:rFonts w:hint="eastAsia" w:ascii="宋体" w:hAnsi="宋体" w:eastAsia="宋体" w:cs="宋体"/>
          <w:color w:val="auto"/>
          <w:kern w:val="0"/>
          <w:sz w:val="24"/>
          <w:lang w:val="zh-CN" w:bidi="ar-SA"/>
        </w:rPr>
        <w:t>客服座席</w:t>
      </w:r>
      <w:bookmarkEnd w:id="331"/>
      <w:r>
        <w:rPr>
          <w:rFonts w:hint="eastAsia" w:ascii="宋体" w:hAnsi="宋体" w:eastAsia="宋体" w:cs="宋体"/>
          <w:color w:val="auto"/>
          <w:kern w:val="0"/>
          <w:sz w:val="24"/>
          <w:lang w:val="zh-CN" w:bidi="ar-SA"/>
        </w:rPr>
        <w:t>数按月度以甲、乙双方确认数据进行核算，并按照上个月外包考核得分对应的考核系数进行结算金额计算。当月最终结算金额=</w:t>
      </w:r>
      <w:r>
        <w:rPr>
          <w:rFonts w:hint="eastAsia" w:ascii="宋体" w:hAnsi="宋体" w:eastAsia="宋体" w:cs="宋体"/>
          <w:color w:val="auto"/>
          <w:kern w:val="0"/>
          <w:sz w:val="24"/>
          <w:lang w:val="en-US" w:eastAsia="zh-CN" w:bidi="ar-SA"/>
        </w:rPr>
        <w:t>月度标准结算金额80%+月度标准结算金额20%</w:t>
      </w:r>
      <w:r>
        <w:rPr>
          <w:rFonts w:hint="eastAsia" w:ascii="宋体" w:hAnsi="宋体" w:eastAsia="宋体" w:cs="宋体"/>
          <w:color w:val="auto"/>
          <w:kern w:val="0"/>
          <w:sz w:val="24"/>
          <w:lang w:val="en-GB" w:bidi="ar"/>
        </w:rPr>
        <w:t>×结算系数</w:t>
      </w:r>
    </w:p>
    <w:p>
      <w:pPr>
        <w:snapToGrid w:val="0"/>
        <w:spacing w:line="360" w:lineRule="auto"/>
        <w:ind w:firstLine="420" w:firstLineChars="175"/>
        <w:rPr>
          <w:rFonts w:hint="eastAsia" w:ascii="宋体" w:hAnsi="宋体" w:eastAsia="宋体" w:cs="宋体"/>
          <w:color w:val="auto"/>
          <w:kern w:val="0"/>
          <w:sz w:val="24"/>
          <w:lang w:val="en-GB" w:bidi="ar"/>
        </w:rPr>
      </w:pPr>
      <w:r>
        <w:rPr>
          <w:rFonts w:hint="eastAsia" w:ascii="宋体" w:hAnsi="宋体" w:eastAsia="宋体" w:cs="宋体"/>
          <w:color w:val="auto"/>
          <w:kern w:val="0"/>
          <w:sz w:val="24"/>
          <w:lang w:val="en-GB" w:bidi="ar"/>
        </w:rPr>
        <w:t>付费标准与考核标准相匹配，结算标准详见附表1《热线外包服务考核考核标准》。</w:t>
      </w:r>
    </w:p>
    <w:p>
      <w:pPr>
        <w:snapToGrid w:val="0"/>
        <w:spacing w:line="360" w:lineRule="auto"/>
        <w:ind w:firstLine="420" w:firstLineChars="175"/>
        <w:rPr>
          <w:rFonts w:hint="eastAsia" w:ascii="宋体" w:hAnsi="宋体" w:eastAsia="宋体" w:cs="宋体"/>
          <w:color w:val="000000"/>
          <w:kern w:val="0"/>
          <w:sz w:val="24"/>
          <w:lang w:val="en-GB" w:bidi="ar"/>
        </w:rPr>
      </w:pPr>
      <w:r>
        <w:rPr>
          <w:rFonts w:hint="eastAsia" w:ascii="宋体" w:hAnsi="宋体" w:eastAsia="宋体" w:cs="宋体"/>
          <w:color w:val="000000"/>
          <w:kern w:val="0"/>
          <w:sz w:val="24"/>
          <w:lang w:bidi="ar"/>
        </w:rPr>
        <w:t>3.2</w:t>
      </w:r>
      <w:r>
        <w:rPr>
          <w:rFonts w:hint="eastAsia" w:ascii="宋体" w:hAnsi="宋体" w:eastAsia="宋体" w:cs="宋体"/>
          <w:color w:val="000000"/>
          <w:kern w:val="0"/>
          <w:sz w:val="24"/>
          <w:lang w:val="en-GB" w:bidi="ar"/>
        </w:rPr>
        <w:t>考核结果运用</w:t>
      </w:r>
    </w:p>
    <w:p>
      <w:pPr>
        <w:snapToGrid w:val="0"/>
        <w:spacing w:line="360" w:lineRule="auto"/>
        <w:ind w:firstLine="420" w:firstLineChars="175"/>
        <w:rPr>
          <w:rFonts w:hint="eastAsia" w:ascii="宋体" w:hAnsi="宋体" w:eastAsia="宋体" w:cs="宋体"/>
          <w:color w:val="000000"/>
          <w:kern w:val="0"/>
          <w:sz w:val="24"/>
          <w:lang w:val="en-GB" w:bidi="ar"/>
        </w:rPr>
      </w:pPr>
      <w:r>
        <w:rPr>
          <w:rFonts w:hint="eastAsia" w:ascii="宋体" w:hAnsi="宋体" w:eastAsia="宋体" w:cs="宋体"/>
          <w:color w:val="000000"/>
          <w:kern w:val="0"/>
          <w:sz w:val="24"/>
          <w:lang w:val="en-GB" w:bidi="ar"/>
        </w:rPr>
        <w:t>运营服务按月度考核，将月度运营服务费的20%作为考核金额，考核分数≥90分，在积极整改前提下，不进行扣款处罚。考核分数在80（含）—90（不含）分之间，每低于90分1分，扣除考核金额的1%；考核分数在60（含）—80（不含）分之间，每低于80分1分，扣除考核金额的2%；完成年度考核进行扣款金额清算；考核分数在60（不含）分以下，评估为乙方不合格，则甲方有权解除本合同。</w:t>
      </w:r>
    </w:p>
    <w:p>
      <w:pPr>
        <w:pStyle w:val="17"/>
        <w:ind w:left="0" w:leftChars="0" w:firstLine="480" w:firstLineChars="200"/>
        <w:rPr>
          <w:rFonts w:hint="eastAsia" w:ascii="宋体" w:hAnsi="宋体" w:eastAsia="宋体" w:cs="宋体"/>
          <w:color w:val="auto"/>
          <w:kern w:val="0"/>
          <w:lang w:val="zh-CN"/>
        </w:rPr>
      </w:pPr>
      <w:r>
        <w:rPr>
          <w:rFonts w:hint="eastAsia" w:ascii="宋体" w:hAnsi="宋体" w:eastAsia="宋体" w:cs="宋体"/>
          <w:color w:val="auto"/>
          <w:kern w:val="0"/>
        </w:rPr>
        <w:t>3.3</w:t>
      </w:r>
      <w:r>
        <w:rPr>
          <w:rFonts w:hint="eastAsia" w:ascii="宋体" w:hAnsi="宋体" w:eastAsia="宋体" w:cs="宋体"/>
          <w:color w:val="auto"/>
          <w:kern w:val="0"/>
          <w:lang w:val="zh-CN"/>
        </w:rPr>
        <w:t>支付方式：甲方与乙方之间通过</w:t>
      </w:r>
      <w:r>
        <w:rPr>
          <w:rFonts w:hint="eastAsia" w:ascii="宋体" w:hAnsi="宋体" w:eastAsia="宋体" w:cs="宋体"/>
          <w:color w:val="auto"/>
          <w:kern w:val="0"/>
          <w:u w:val="single"/>
          <w:lang w:val="zh-CN"/>
        </w:rPr>
        <w:t xml:space="preserve"> 银行转账 </w:t>
      </w:r>
      <w:r>
        <w:rPr>
          <w:rFonts w:hint="eastAsia" w:ascii="宋体" w:hAnsi="宋体" w:eastAsia="宋体" w:cs="宋体"/>
          <w:color w:val="auto"/>
          <w:kern w:val="0"/>
          <w:lang w:val="zh-CN"/>
        </w:rPr>
        <w:t>方式进行结算。</w:t>
      </w:r>
    </w:p>
    <w:p>
      <w:pPr>
        <w:pStyle w:val="17"/>
        <w:ind w:left="0" w:leftChars="0" w:firstLine="480" w:firstLineChars="200"/>
        <w:rPr>
          <w:rFonts w:hint="eastAsia" w:ascii="宋体" w:hAnsi="宋体" w:eastAsia="宋体" w:cs="宋体"/>
          <w:kern w:val="0"/>
          <w:lang w:val="zh-CN" w:bidi="ar"/>
        </w:rPr>
      </w:pPr>
      <w:r>
        <w:rPr>
          <w:rFonts w:hint="eastAsia" w:ascii="宋体" w:hAnsi="宋体" w:eastAsia="宋体" w:cs="宋体"/>
          <w:color w:val="auto"/>
          <w:kern w:val="0"/>
        </w:rPr>
        <w:t>3.4</w:t>
      </w:r>
      <w:r>
        <w:rPr>
          <w:rFonts w:hint="eastAsia" w:ascii="宋体" w:hAnsi="宋体" w:eastAsia="宋体" w:cs="宋体"/>
          <w:color w:val="auto"/>
          <w:kern w:val="0"/>
          <w:lang w:val="zh-CN"/>
        </w:rPr>
        <w:t>发票种类：</w:t>
      </w:r>
      <w:r>
        <w:rPr>
          <w:rFonts w:hint="eastAsia" w:ascii="宋体" w:hAnsi="宋体" w:eastAsia="宋体" w:cs="宋体"/>
          <w:kern w:val="0"/>
          <w:lang w:bidi="ar"/>
        </w:rPr>
        <w:t>乙方于每期生效后10日</w:t>
      </w:r>
      <w:r>
        <w:rPr>
          <w:rFonts w:hint="eastAsia" w:ascii="宋体" w:hAnsi="宋体" w:eastAsia="宋体" w:cs="宋体"/>
        </w:rPr>
        <w:t>内</w:t>
      </w:r>
      <w:r>
        <w:rPr>
          <w:rFonts w:hint="eastAsia" w:ascii="宋体" w:hAnsi="宋体" w:eastAsia="宋体" w:cs="宋体"/>
          <w:kern w:val="0"/>
          <w:lang w:bidi="ar"/>
        </w:rPr>
        <w:t>根据双方确认的服务费用向甲方开具并送达合法有效的</w:t>
      </w:r>
      <w:r>
        <w:rPr>
          <w:rFonts w:hint="eastAsia" w:ascii="宋体" w:hAnsi="宋体" w:eastAsia="宋体" w:cs="宋体"/>
          <w:kern w:val="0"/>
          <w:lang w:val="zh-CN" w:bidi="ar"/>
        </w:rPr>
        <w:t>增值税专用发票,</w:t>
      </w:r>
      <w:r>
        <w:rPr>
          <w:rFonts w:hint="eastAsia" w:ascii="宋体" w:hAnsi="宋体" w:eastAsia="宋体" w:cs="宋体"/>
          <w:kern w:val="0"/>
          <w:lang w:bidi="ar"/>
        </w:rPr>
        <w:t xml:space="preserve"> 发票税率为6%。</w:t>
      </w:r>
    </w:p>
    <w:p>
      <w:pPr>
        <w:pStyle w:val="17"/>
        <w:ind w:left="480" w:leftChars="200" w:firstLine="0" w:firstLineChars="0"/>
        <w:rPr>
          <w:rFonts w:hint="eastAsia" w:ascii="宋体" w:hAnsi="宋体" w:eastAsia="宋体" w:cs="宋体"/>
          <w:kern w:val="0"/>
          <w:lang w:val="zh-CN" w:bidi="ar"/>
        </w:rPr>
      </w:pPr>
      <w:r>
        <w:rPr>
          <w:rFonts w:hint="eastAsia" w:ascii="宋体" w:hAnsi="宋体" w:eastAsia="宋体" w:cs="宋体"/>
          <w:kern w:val="0"/>
          <w:lang w:val="zh-CN" w:bidi="ar"/>
        </w:rPr>
        <w:t>银行信息：</w:t>
      </w:r>
    </w:p>
    <w:p>
      <w:pPr>
        <w:pStyle w:val="17"/>
        <w:ind w:left="426" w:leftChars="0" w:right="120" w:rightChars="50" w:firstLine="0" w:firstLineChars="0"/>
        <w:jc w:val="left"/>
        <w:rPr>
          <w:rFonts w:hint="eastAsia" w:ascii="宋体" w:hAnsi="宋体" w:eastAsia="宋体" w:cs="宋体"/>
          <w:color w:val="auto"/>
          <w:kern w:val="0"/>
          <w:lang w:val="zh-CN"/>
        </w:rPr>
      </w:pPr>
      <w:r>
        <w:rPr>
          <w:rFonts w:hint="eastAsia" w:ascii="宋体" w:hAnsi="宋体" w:eastAsia="宋体" w:cs="宋体"/>
          <w:color w:val="auto"/>
          <w:kern w:val="0"/>
          <w:lang w:val="zh-CN"/>
        </w:rPr>
        <w:t>合同乙方：</w:t>
      </w:r>
    </w:p>
    <w:p>
      <w:pPr>
        <w:pStyle w:val="17"/>
        <w:ind w:left="426" w:leftChars="0" w:right="120" w:rightChars="50" w:firstLine="0" w:firstLineChars="0"/>
        <w:jc w:val="left"/>
        <w:rPr>
          <w:rFonts w:hint="eastAsia" w:ascii="宋体" w:hAnsi="宋体" w:eastAsia="宋体" w:cs="宋体"/>
          <w:color w:val="auto"/>
          <w:kern w:val="0"/>
          <w:lang w:val="zh-CN"/>
        </w:rPr>
      </w:pPr>
      <w:r>
        <w:rPr>
          <w:rFonts w:hint="eastAsia" w:ascii="宋体" w:hAnsi="宋体" w:eastAsia="宋体" w:cs="宋体"/>
          <w:color w:val="auto"/>
          <w:kern w:val="0"/>
          <w:lang w:val="zh-CN"/>
        </w:rPr>
        <w:t>开户名称：</w:t>
      </w:r>
    </w:p>
    <w:p>
      <w:pPr>
        <w:pStyle w:val="17"/>
        <w:ind w:left="426" w:leftChars="0" w:right="120" w:rightChars="50" w:firstLine="0" w:firstLineChars="0"/>
        <w:jc w:val="left"/>
        <w:rPr>
          <w:rFonts w:hint="eastAsia" w:ascii="宋体" w:hAnsi="宋体" w:eastAsia="宋体" w:cs="宋体"/>
          <w:color w:val="auto"/>
          <w:kern w:val="0"/>
          <w:lang w:val="zh-CN"/>
        </w:rPr>
      </w:pPr>
      <w:r>
        <w:rPr>
          <w:rFonts w:hint="eastAsia" w:ascii="宋体" w:hAnsi="宋体" w:eastAsia="宋体" w:cs="宋体"/>
          <w:color w:val="auto"/>
          <w:kern w:val="0"/>
          <w:lang w:val="zh-CN"/>
        </w:rPr>
        <w:t xml:space="preserve">开 户 行： </w:t>
      </w:r>
    </w:p>
    <w:p>
      <w:pPr>
        <w:pStyle w:val="17"/>
        <w:ind w:left="426" w:leftChars="0" w:right="120" w:rightChars="50" w:firstLine="0" w:firstLineChars="0"/>
        <w:jc w:val="left"/>
        <w:rPr>
          <w:rFonts w:hint="eastAsia" w:ascii="宋体" w:hAnsi="宋体" w:eastAsia="宋体" w:cs="宋体"/>
          <w:color w:val="auto"/>
          <w:kern w:val="0"/>
          <w:lang w:val="zh-CN"/>
        </w:rPr>
      </w:pPr>
      <w:r>
        <w:rPr>
          <w:rFonts w:hint="eastAsia" w:ascii="宋体" w:hAnsi="宋体" w:eastAsia="宋体" w:cs="宋体"/>
          <w:color w:val="auto"/>
          <w:kern w:val="0"/>
          <w:lang w:val="zh-CN"/>
        </w:rPr>
        <w:t>帐    号：</w:t>
      </w:r>
    </w:p>
    <w:p>
      <w:pPr>
        <w:pStyle w:val="17"/>
        <w:ind w:left="0" w:leftChars="0" w:right="120" w:rightChars="50"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3.5 甲方自收到乙方提供的有效发票后，20 个工作日内完成付款。“</w:t>
      </w:r>
    </w:p>
    <w:p>
      <w:pPr>
        <w:pStyle w:val="17"/>
        <w:ind w:left="0" w:leftChars="0" w:right="120" w:rightChars="50" w:firstLine="480" w:firstLineChars="200"/>
        <w:jc w:val="left"/>
        <w:rPr>
          <w:rFonts w:hint="eastAsia" w:ascii="宋体" w:hAnsi="宋体" w:eastAsia="宋体" w:cs="宋体"/>
          <w:color w:val="auto"/>
          <w:kern w:val="0"/>
          <w:lang w:val="zh-CN"/>
        </w:rPr>
      </w:pPr>
      <w:r>
        <w:rPr>
          <w:rFonts w:hint="eastAsia" w:ascii="宋体" w:hAnsi="宋体" w:eastAsia="宋体" w:cs="宋体"/>
          <w:color w:val="auto"/>
          <w:kern w:val="0"/>
        </w:rPr>
        <w:t>3.</w:t>
      </w:r>
      <w:r>
        <w:rPr>
          <w:rFonts w:hint="eastAsia" w:ascii="宋体" w:hAnsi="宋体" w:eastAsia="宋体" w:cs="宋体"/>
          <w:color w:val="auto"/>
          <w:kern w:val="0"/>
          <w:lang w:val="en-US" w:eastAsia="zh-CN"/>
        </w:rPr>
        <w:t>6</w:t>
      </w:r>
      <w:r>
        <w:rPr>
          <w:rFonts w:hint="eastAsia" w:ascii="宋体" w:hAnsi="宋体" w:eastAsia="宋体" w:cs="宋体"/>
          <w:color w:val="auto"/>
          <w:kern w:val="0"/>
          <w:lang w:val="zh-CN"/>
        </w:rPr>
        <w:t>本项目实施过程中，若甲方中途变更方案或社保公积金根据国家政策发的调整变化，相应费用的变化由双方另行协商一致后签订补充协议。</w:t>
      </w:r>
    </w:p>
    <w:p>
      <w:pPr>
        <w:pStyle w:val="17"/>
        <w:ind w:left="0" w:leftChars="0" w:right="120" w:rightChars="50" w:firstLine="480" w:firstLineChars="200"/>
        <w:jc w:val="left"/>
        <w:rPr>
          <w:rFonts w:hint="eastAsia" w:ascii="宋体" w:hAnsi="宋体" w:eastAsia="宋体" w:cs="宋体"/>
          <w:color w:val="auto"/>
          <w:kern w:val="0"/>
          <w:lang w:val="zh-CN"/>
        </w:rPr>
      </w:pPr>
      <w:r>
        <w:rPr>
          <w:rFonts w:hint="eastAsia" w:ascii="宋体" w:hAnsi="宋体" w:eastAsia="宋体" w:cs="宋体"/>
          <w:color w:val="auto"/>
          <w:kern w:val="0"/>
        </w:rPr>
        <w:t>3.</w:t>
      </w:r>
      <w:r>
        <w:rPr>
          <w:rFonts w:hint="eastAsia" w:ascii="宋体" w:hAnsi="宋体" w:eastAsia="宋体" w:cs="宋体"/>
          <w:color w:val="auto"/>
          <w:kern w:val="0"/>
          <w:lang w:val="en-US" w:eastAsia="zh-CN"/>
        </w:rPr>
        <w:t>7</w:t>
      </w:r>
      <w:r>
        <w:rPr>
          <w:rFonts w:hint="eastAsia" w:ascii="宋体" w:hAnsi="宋体" w:eastAsia="宋体" w:cs="宋体"/>
          <w:color w:val="auto"/>
          <w:kern w:val="0"/>
          <w:lang w:val="zh-CN"/>
        </w:rPr>
        <w:t>本项目实施过程中，产生的通信类费用超出部分据实结算。</w:t>
      </w:r>
    </w:p>
    <w:p>
      <w:pPr>
        <w:numPr>
          <w:ilvl w:val="0"/>
          <w:numId w:val="3"/>
        </w:numPr>
        <w:ind w:left="425" w:leftChars="0" w:hanging="425" w:firstLineChars="0"/>
        <w:rPr>
          <w:rFonts w:hint="eastAsia" w:eastAsia="宋体"/>
          <w:lang w:val="en-US" w:eastAsia="zh-CN"/>
        </w:rPr>
      </w:pPr>
      <w:r>
        <w:rPr>
          <w:rFonts w:hint="eastAsia" w:eastAsia="宋体"/>
          <w:lang w:val="en-US" w:eastAsia="zh-CN"/>
        </w:rPr>
        <w:t>履约担保</w:t>
      </w:r>
    </w:p>
    <w:p>
      <w:pPr>
        <w:autoSpaceDE w:val="0"/>
        <w:autoSpaceDN w:val="0"/>
        <w:adjustRightInd w:val="0"/>
        <w:spacing w:line="360" w:lineRule="auto"/>
        <w:ind w:left="-2" w:leftChars="-1" w:firstLine="427" w:firstLineChars="178"/>
        <w:jc w:val="left"/>
        <w:rPr>
          <w:rFonts w:hint="eastAsia" w:ascii="宋体" w:hAnsi="宋体" w:eastAsia="宋体" w:cs="宋体"/>
          <w:kern w:val="0"/>
          <w:sz w:val="24"/>
          <w:lang w:val="zh-CN" w:bidi="ar"/>
        </w:rPr>
      </w:pPr>
      <w:r>
        <w:rPr>
          <w:rFonts w:hint="eastAsia" w:ascii="宋体" w:hAnsi="宋体" w:eastAsia="宋体" w:cs="宋体"/>
          <w:kern w:val="0"/>
          <w:sz w:val="24"/>
          <w:lang w:val="en-US" w:eastAsia="zh-CN" w:bidi="ar"/>
        </w:rPr>
        <w:t>4.</w:t>
      </w:r>
      <w:r>
        <w:rPr>
          <w:rFonts w:hint="eastAsia" w:ascii="宋体" w:hAnsi="宋体" w:eastAsia="宋体" w:cs="宋体"/>
          <w:kern w:val="0"/>
          <w:sz w:val="24"/>
          <w:lang w:val="zh-CN" w:bidi="ar"/>
        </w:rPr>
        <w:t>1、中标人是否提供履约担保：提供。</w:t>
      </w:r>
    </w:p>
    <w:p>
      <w:pPr>
        <w:autoSpaceDE w:val="0"/>
        <w:autoSpaceDN w:val="0"/>
        <w:adjustRightInd w:val="0"/>
        <w:spacing w:line="360" w:lineRule="auto"/>
        <w:ind w:left="-2" w:leftChars="-1" w:firstLine="427" w:firstLineChars="178"/>
        <w:jc w:val="left"/>
        <w:rPr>
          <w:rFonts w:hint="eastAsia" w:ascii="宋体" w:hAnsi="宋体" w:eastAsia="宋体" w:cs="宋体"/>
          <w:kern w:val="0"/>
          <w:sz w:val="24"/>
          <w:lang w:val="zh-CN" w:bidi="ar"/>
        </w:rPr>
      </w:pPr>
      <w:r>
        <w:rPr>
          <w:rFonts w:hint="eastAsia" w:ascii="宋体" w:hAnsi="宋体" w:eastAsia="宋体" w:cs="宋体"/>
          <w:kern w:val="0"/>
          <w:sz w:val="24"/>
          <w:lang w:val="en-US" w:eastAsia="zh-CN" w:bidi="ar"/>
        </w:rPr>
        <w:t>4.</w:t>
      </w:r>
      <w:r>
        <w:rPr>
          <w:rFonts w:hint="eastAsia" w:ascii="宋体" w:hAnsi="宋体" w:eastAsia="宋体" w:cs="宋体"/>
          <w:kern w:val="0"/>
          <w:sz w:val="24"/>
          <w:lang w:val="zh-CN" w:bidi="ar"/>
        </w:rPr>
        <w:t>2、中标人提供履约担保的形式、金额及期限：</w:t>
      </w:r>
    </w:p>
    <w:p>
      <w:pPr>
        <w:autoSpaceDE w:val="0"/>
        <w:autoSpaceDN w:val="0"/>
        <w:adjustRightInd w:val="0"/>
        <w:spacing w:line="360" w:lineRule="auto"/>
        <w:ind w:left="-2" w:leftChars="-1" w:firstLine="427" w:firstLineChars="178"/>
        <w:jc w:val="left"/>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4.2.1</w:t>
      </w:r>
      <w:r>
        <w:rPr>
          <w:rFonts w:hint="eastAsia" w:ascii="宋体" w:hAnsi="宋体" w:eastAsia="宋体" w:cs="宋体"/>
          <w:kern w:val="0"/>
          <w:sz w:val="24"/>
          <w:lang w:val="zh-CN" w:bidi="ar"/>
        </w:rPr>
        <w:t>履约担保的形式：现金或</w:t>
      </w:r>
      <w:r>
        <w:rPr>
          <w:rFonts w:hint="eastAsia" w:ascii="宋体" w:hAnsi="宋体" w:eastAsia="宋体" w:cs="宋体"/>
          <w:kern w:val="0"/>
          <w:sz w:val="24"/>
          <w:lang w:val="zh-CN" w:eastAsia="zh-CN" w:bidi="ar"/>
        </w:rPr>
        <w:t>履约</w:t>
      </w:r>
      <w:r>
        <w:rPr>
          <w:rFonts w:hint="eastAsia" w:ascii="宋体" w:hAnsi="宋体" w:eastAsia="宋体" w:cs="宋体"/>
          <w:kern w:val="0"/>
          <w:sz w:val="24"/>
          <w:lang w:val="zh-CN" w:bidi="ar"/>
        </w:rPr>
        <w:t>保函或现金+</w:t>
      </w:r>
      <w:r>
        <w:rPr>
          <w:rFonts w:hint="eastAsia" w:ascii="宋体" w:hAnsi="宋体" w:eastAsia="宋体" w:cs="宋体"/>
          <w:kern w:val="0"/>
          <w:sz w:val="24"/>
          <w:lang w:val="zh-CN" w:eastAsia="zh-CN" w:bidi="ar"/>
        </w:rPr>
        <w:t>履约</w:t>
      </w:r>
      <w:r>
        <w:rPr>
          <w:rFonts w:hint="eastAsia" w:ascii="宋体" w:hAnsi="宋体" w:eastAsia="宋体" w:cs="宋体"/>
          <w:kern w:val="0"/>
          <w:sz w:val="24"/>
          <w:lang w:val="zh-CN" w:bidi="ar"/>
        </w:rPr>
        <w:t>保函的组合</w:t>
      </w:r>
      <w:r>
        <w:rPr>
          <w:rFonts w:hint="eastAsia" w:ascii="宋体" w:hAnsi="宋体" w:eastAsia="宋体" w:cs="宋体"/>
          <w:kern w:val="0"/>
          <w:sz w:val="24"/>
          <w:lang w:val="zh-CN" w:eastAsia="zh-CN" w:bidi="ar"/>
        </w:rPr>
        <w:t>，履约</w:t>
      </w:r>
      <w:r>
        <w:rPr>
          <w:rFonts w:hint="eastAsia" w:ascii="宋体" w:hAnsi="宋体" w:eastAsia="宋体" w:cs="宋体"/>
          <w:kern w:val="0"/>
          <w:sz w:val="24"/>
          <w:lang w:val="zh-CN" w:bidi="ar"/>
        </w:rPr>
        <w:t>保函包括银行保函、保证保险和担保保函</w:t>
      </w:r>
      <w:r>
        <w:rPr>
          <w:rFonts w:hint="eastAsia" w:ascii="宋体" w:hAnsi="宋体" w:eastAsia="宋体" w:cs="宋体"/>
          <w:kern w:val="0"/>
          <w:sz w:val="24"/>
          <w:lang w:val="zh-CN" w:eastAsia="zh-CN" w:bidi="ar"/>
        </w:rPr>
        <w:t>，</w:t>
      </w:r>
      <w:r>
        <w:rPr>
          <w:rFonts w:hint="eastAsia" w:ascii="宋体" w:hAnsi="宋体" w:eastAsia="宋体" w:cs="宋体"/>
          <w:kern w:val="0"/>
          <w:sz w:val="24"/>
          <w:lang w:val="en-US" w:eastAsia="zh-CN" w:bidi="ar"/>
        </w:rPr>
        <w:t>其示范文本详见第四章合同条款及格式附件</w:t>
      </w:r>
      <w:r>
        <w:rPr>
          <w:rFonts w:hint="eastAsia" w:ascii="宋体" w:hAnsi="宋体" w:eastAsia="宋体" w:cs="宋体"/>
          <w:kern w:val="0"/>
          <w:sz w:val="24"/>
          <w:lang w:val="zh-CN" w:eastAsia="zh-CN" w:bidi="ar"/>
        </w:rPr>
        <w:t>。</w:t>
      </w:r>
      <w:r>
        <w:rPr>
          <w:rFonts w:hint="eastAsia" w:ascii="宋体" w:hAnsi="宋体" w:eastAsia="宋体" w:cs="宋体"/>
          <w:kern w:val="0"/>
          <w:sz w:val="24"/>
          <w:lang w:val="en-US" w:eastAsia="zh-CN" w:bidi="ar"/>
        </w:rPr>
        <w:t>中标人提交的履约保函应</w:t>
      </w:r>
      <w:r>
        <w:rPr>
          <w:rFonts w:hint="eastAsia" w:ascii="宋体" w:hAnsi="宋体" w:eastAsia="宋体" w:cs="宋体"/>
          <w:kern w:val="0"/>
          <w:sz w:val="24"/>
          <w:lang w:val="zh-CN" w:bidi="ar"/>
        </w:rPr>
        <w:t>严格执行</w:t>
      </w:r>
      <w:r>
        <w:rPr>
          <w:rFonts w:hint="eastAsia" w:ascii="宋体" w:hAnsi="宋体" w:eastAsia="宋体" w:cs="宋体"/>
          <w:kern w:val="0"/>
          <w:sz w:val="24"/>
          <w:lang w:val="en-US" w:eastAsia="zh-CN" w:bidi="ar"/>
        </w:rPr>
        <w:t>其</w:t>
      </w:r>
      <w:r>
        <w:rPr>
          <w:rFonts w:hint="eastAsia" w:ascii="宋体" w:hAnsi="宋体" w:eastAsia="宋体" w:cs="宋体"/>
          <w:kern w:val="0"/>
          <w:sz w:val="24"/>
          <w:lang w:val="zh-CN" w:bidi="ar"/>
        </w:rPr>
        <w:t>示范文本，不得对示范文本中的实质性内容进行修改</w:t>
      </w:r>
      <w:r>
        <w:rPr>
          <w:rFonts w:hint="eastAsia" w:ascii="宋体" w:hAnsi="宋体" w:eastAsia="宋体" w:cs="宋体"/>
          <w:kern w:val="0"/>
          <w:sz w:val="24"/>
          <w:lang w:val="en-US" w:eastAsia="zh-CN" w:bidi="ar"/>
        </w:rPr>
        <w:t>。</w:t>
      </w:r>
    </w:p>
    <w:p>
      <w:pPr>
        <w:autoSpaceDE w:val="0"/>
        <w:autoSpaceDN w:val="0"/>
        <w:adjustRightInd w:val="0"/>
        <w:spacing w:line="360" w:lineRule="auto"/>
        <w:ind w:left="-2" w:leftChars="-1" w:firstLine="427" w:firstLineChars="178"/>
        <w:jc w:val="left"/>
        <w:rPr>
          <w:rFonts w:hint="eastAsia" w:ascii="宋体" w:hAnsi="宋体" w:eastAsia="宋体" w:cs="宋体"/>
          <w:kern w:val="0"/>
          <w:sz w:val="24"/>
          <w:lang w:val="zh-CN" w:bidi="ar"/>
        </w:rPr>
      </w:pPr>
      <w:r>
        <w:rPr>
          <w:rFonts w:hint="eastAsia" w:ascii="宋体" w:hAnsi="宋体" w:eastAsia="宋体" w:cs="宋体"/>
          <w:kern w:val="0"/>
          <w:sz w:val="24"/>
          <w:lang w:val="en-US" w:eastAsia="zh-CN" w:bidi="ar"/>
        </w:rPr>
        <w:t>4.2.2具体要求：履约保函</w:t>
      </w:r>
      <w:r>
        <w:rPr>
          <w:rFonts w:hint="eastAsia" w:ascii="宋体" w:hAnsi="宋体" w:eastAsia="宋体" w:cs="宋体"/>
          <w:kern w:val="0"/>
          <w:sz w:val="24"/>
          <w:lang w:val="zh-CN" w:bidi="ar"/>
        </w:rPr>
        <w:t>的开立人应当是具有相应资格的银行、保险机构、融资担保公司，其信用资质、履约能力、担保能力、赔付流程、安全保密等应符合</w:t>
      </w:r>
      <w:r>
        <w:rPr>
          <w:rFonts w:hint="eastAsia" w:ascii="宋体" w:hAnsi="宋体" w:eastAsia="宋体" w:cs="宋体"/>
          <w:kern w:val="0"/>
          <w:sz w:val="24"/>
          <w:lang w:val="zh-CN" w:eastAsia="zh-CN" w:bidi="ar"/>
        </w:rPr>
        <w:t>履约</w:t>
      </w:r>
      <w:r>
        <w:rPr>
          <w:rFonts w:hint="eastAsia" w:ascii="宋体" w:hAnsi="宋体" w:eastAsia="宋体" w:cs="宋体"/>
          <w:kern w:val="0"/>
          <w:sz w:val="24"/>
          <w:lang w:val="zh-CN" w:bidi="ar"/>
        </w:rPr>
        <w:t>保函业务条件</w:t>
      </w:r>
      <w:r>
        <w:rPr>
          <w:rFonts w:hint="eastAsia" w:ascii="宋体" w:hAnsi="宋体" w:eastAsia="宋体" w:cs="宋体"/>
          <w:kern w:val="0"/>
          <w:sz w:val="24"/>
          <w:lang w:val="zh-CN" w:eastAsia="zh-CN" w:bidi="ar"/>
        </w:rPr>
        <w:t>。</w:t>
      </w:r>
      <w:r>
        <w:rPr>
          <w:rFonts w:hint="eastAsia" w:ascii="宋体" w:hAnsi="宋体" w:eastAsia="宋体" w:cs="宋体"/>
          <w:kern w:val="0"/>
          <w:sz w:val="24"/>
          <w:lang w:val="en-US" w:eastAsia="zh-CN" w:bidi="ar"/>
        </w:rPr>
        <w:t>履约保函</w:t>
      </w:r>
      <w:r>
        <w:rPr>
          <w:rFonts w:hint="eastAsia" w:ascii="宋体" w:hAnsi="宋体" w:eastAsia="宋体" w:cs="宋体"/>
          <w:kern w:val="0"/>
          <w:sz w:val="24"/>
          <w:lang w:val="zh-CN" w:eastAsia="zh-CN" w:bidi="ar"/>
        </w:rPr>
        <w:t>应合法合规，符合招投标行政监督部门、行业主管部门和金融监管部门的相关规定，满足招标文件约定要求。</w:t>
      </w:r>
      <w:r>
        <w:rPr>
          <w:rFonts w:hint="eastAsia" w:ascii="宋体" w:hAnsi="宋体" w:eastAsia="宋体" w:cs="宋体"/>
          <w:kern w:val="0"/>
          <w:sz w:val="24"/>
          <w:lang w:val="en-US" w:eastAsia="zh-CN" w:bidi="ar"/>
        </w:rPr>
        <w:t>中标人</w:t>
      </w:r>
      <w:r>
        <w:rPr>
          <w:rFonts w:hint="eastAsia" w:ascii="宋体" w:hAnsi="宋体" w:eastAsia="宋体" w:cs="宋体"/>
          <w:kern w:val="0"/>
          <w:sz w:val="24"/>
          <w:lang w:val="zh-CN" w:bidi="ar"/>
        </w:rPr>
        <w:t>应选择在渝依法设立总部或者设有分支机构的金融机构开具</w:t>
      </w:r>
      <w:r>
        <w:rPr>
          <w:rFonts w:hint="eastAsia" w:ascii="宋体" w:hAnsi="宋体" w:eastAsia="宋体" w:cs="宋体"/>
          <w:kern w:val="0"/>
          <w:sz w:val="24"/>
          <w:lang w:val="en-US" w:eastAsia="zh-CN" w:bidi="ar"/>
        </w:rPr>
        <w:t>履约保函（包括纸质保函或电子保函）</w:t>
      </w:r>
      <w:r>
        <w:rPr>
          <w:rFonts w:hint="eastAsia" w:ascii="宋体" w:hAnsi="宋体" w:eastAsia="宋体" w:cs="宋体"/>
          <w:kern w:val="0"/>
          <w:sz w:val="24"/>
          <w:lang w:val="zh-CN" w:eastAsia="zh-CN" w:bidi="ar"/>
        </w:rPr>
        <w:t>。</w:t>
      </w:r>
      <w:r>
        <w:rPr>
          <w:rFonts w:hint="eastAsia" w:ascii="宋体" w:hAnsi="宋体" w:eastAsia="宋体" w:cs="宋体"/>
          <w:kern w:val="0"/>
          <w:sz w:val="24"/>
          <w:lang w:val="en-US" w:eastAsia="zh-CN" w:bidi="ar"/>
        </w:rPr>
        <w:t>履约保函为纸质保函的，纸质保函应注明在</w:t>
      </w:r>
      <w:r>
        <w:rPr>
          <w:rFonts w:hint="eastAsia" w:ascii="宋体" w:hAnsi="宋体" w:eastAsia="宋体" w:cs="宋体"/>
          <w:kern w:val="0"/>
          <w:sz w:val="24"/>
          <w:lang w:val="zh-CN" w:bidi="ar"/>
        </w:rPr>
        <w:t>重庆市辖区范围内的核验地址和核验方式，并确保该纸质保函能在开立人在渝的总部或者分支机构进行核验</w:t>
      </w:r>
      <w:r>
        <w:rPr>
          <w:rFonts w:hint="eastAsia" w:ascii="宋体" w:hAnsi="宋体" w:eastAsia="宋体" w:cs="宋体"/>
          <w:kern w:val="0"/>
          <w:sz w:val="24"/>
          <w:lang w:val="zh-CN" w:eastAsia="zh-CN" w:bidi="ar"/>
        </w:rPr>
        <w:t>。</w:t>
      </w:r>
      <w:r>
        <w:rPr>
          <w:rFonts w:hint="eastAsia" w:ascii="宋体" w:hAnsi="宋体" w:eastAsia="宋体" w:cs="宋体"/>
          <w:kern w:val="0"/>
          <w:sz w:val="24"/>
          <w:lang w:val="en-US" w:eastAsia="zh-CN" w:bidi="ar"/>
        </w:rPr>
        <w:t>中标人对所提交的履约保函的真实性、合法性、有效性负责</w:t>
      </w:r>
      <w:r>
        <w:rPr>
          <w:rFonts w:hint="eastAsia" w:ascii="宋体" w:hAnsi="宋体" w:eastAsia="宋体" w:cs="宋体"/>
          <w:kern w:val="0"/>
          <w:sz w:val="24"/>
          <w:lang w:val="zh-CN" w:bidi="ar"/>
        </w:rPr>
        <w:t>。</w:t>
      </w:r>
    </w:p>
    <w:p>
      <w:pPr>
        <w:autoSpaceDE w:val="0"/>
        <w:autoSpaceDN w:val="0"/>
        <w:adjustRightInd w:val="0"/>
        <w:spacing w:line="360" w:lineRule="auto"/>
        <w:ind w:left="-2" w:leftChars="-1" w:firstLine="427" w:firstLineChars="178"/>
        <w:jc w:val="left"/>
        <w:rPr>
          <w:rFonts w:hint="eastAsia" w:ascii="宋体" w:hAnsi="宋体" w:eastAsia="宋体" w:cs="宋体"/>
          <w:kern w:val="0"/>
          <w:sz w:val="24"/>
          <w:lang w:val="zh-CN" w:bidi="ar"/>
        </w:rPr>
      </w:pPr>
      <w:r>
        <w:rPr>
          <w:rFonts w:hint="eastAsia" w:ascii="宋体" w:hAnsi="宋体" w:eastAsia="宋体" w:cs="宋体"/>
          <w:kern w:val="0"/>
          <w:sz w:val="24"/>
          <w:lang w:val="en-US" w:eastAsia="zh-CN" w:bidi="ar"/>
        </w:rPr>
        <w:t>4.2.3</w:t>
      </w:r>
      <w:r>
        <w:rPr>
          <w:rFonts w:hint="eastAsia" w:ascii="宋体" w:hAnsi="宋体" w:eastAsia="宋体" w:cs="宋体"/>
          <w:kern w:val="0"/>
          <w:sz w:val="24"/>
          <w:lang w:val="zh-CN" w:bidi="ar"/>
        </w:rPr>
        <w:t>履约担保的金额：</w:t>
      </w:r>
      <w:r>
        <w:rPr>
          <w:rFonts w:hint="eastAsia" w:ascii="宋体" w:hAnsi="宋体" w:eastAsia="宋体" w:cs="宋体"/>
          <w:kern w:val="0"/>
          <w:sz w:val="24"/>
          <w:u w:val="single"/>
          <w:lang w:val="en-US" w:eastAsia="zh-CN" w:bidi="ar"/>
        </w:rPr>
        <w:t xml:space="preserve">                     </w:t>
      </w:r>
      <w:r>
        <w:rPr>
          <w:rFonts w:hint="eastAsia" w:ascii="宋体" w:hAnsi="宋体" w:eastAsia="宋体" w:cs="宋体"/>
          <w:kern w:val="0"/>
          <w:sz w:val="24"/>
          <w:lang w:val="en-US" w:eastAsia="zh-CN" w:bidi="ar"/>
        </w:rPr>
        <w:t>元</w:t>
      </w:r>
      <w:r>
        <w:rPr>
          <w:rFonts w:hint="eastAsia" w:ascii="宋体" w:hAnsi="宋体" w:eastAsia="宋体" w:cs="宋体"/>
          <w:kern w:val="0"/>
          <w:sz w:val="24"/>
          <w:lang w:val="zh-CN" w:bidi="ar"/>
        </w:rPr>
        <w:t>。</w:t>
      </w:r>
    </w:p>
    <w:p>
      <w:pPr>
        <w:autoSpaceDE w:val="0"/>
        <w:autoSpaceDN w:val="0"/>
        <w:adjustRightInd w:val="0"/>
        <w:spacing w:line="360" w:lineRule="auto"/>
        <w:ind w:left="-2" w:leftChars="-1" w:firstLine="427" w:firstLineChars="178"/>
        <w:jc w:val="left"/>
        <w:rPr>
          <w:rFonts w:hint="eastAsia" w:ascii="宋体" w:hAnsi="宋体" w:eastAsia="宋体" w:cs="宋体"/>
          <w:kern w:val="0"/>
          <w:sz w:val="24"/>
          <w:lang w:val="zh-CN" w:bidi="ar"/>
        </w:rPr>
      </w:pPr>
      <w:r>
        <w:rPr>
          <w:rFonts w:hint="eastAsia" w:ascii="宋体" w:hAnsi="宋体" w:eastAsia="宋体" w:cs="宋体"/>
          <w:kern w:val="0"/>
          <w:sz w:val="24"/>
          <w:lang w:val="en-US" w:eastAsia="zh-CN" w:bidi="ar"/>
        </w:rPr>
        <w:t>4.2.4</w:t>
      </w:r>
      <w:r>
        <w:rPr>
          <w:rFonts w:hint="eastAsia" w:ascii="宋体" w:hAnsi="宋体" w:eastAsia="宋体" w:cs="宋体"/>
          <w:kern w:val="0"/>
          <w:sz w:val="24"/>
          <w:lang w:val="zh-CN" w:bidi="ar"/>
        </w:rPr>
        <w:t>履约担保的提交时间：</w:t>
      </w:r>
      <w:r>
        <w:rPr>
          <w:rFonts w:hint="eastAsia" w:ascii="宋体" w:hAnsi="宋体" w:eastAsia="宋体" w:cs="宋体"/>
          <w:kern w:val="0"/>
          <w:sz w:val="24"/>
          <w:lang w:val="zh-CN" w:eastAsia="zh-CN" w:bidi="ar"/>
        </w:rPr>
        <w:t>收到中标通知书后且在合同签订前</w:t>
      </w:r>
      <w:r>
        <w:rPr>
          <w:rFonts w:hint="eastAsia" w:ascii="宋体" w:hAnsi="宋体" w:eastAsia="宋体" w:cs="宋体"/>
          <w:kern w:val="0"/>
          <w:sz w:val="24"/>
          <w:lang w:val="en-US" w:eastAsia="zh-CN" w:bidi="ar"/>
        </w:rPr>
        <w:t>提交</w:t>
      </w:r>
      <w:r>
        <w:rPr>
          <w:rFonts w:hint="eastAsia" w:ascii="宋体" w:hAnsi="宋体" w:eastAsia="宋体" w:cs="宋体"/>
          <w:kern w:val="0"/>
          <w:sz w:val="24"/>
          <w:lang w:val="zh-CN" w:bidi="ar"/>
        </w:rPr>
        <w:t>。</w:t>
      </w:r>
    </w:p>
    <w:p>
      <w:pPr>
        <w:autoSpaceDE w:val="0"/>
        <w:autoSpaceDN w:val="0"/>
        <w:adjustRightInd w:val="0"/>
        <w:spacing w:line="360" w:lineRule="auto"/>
        <w:ind w:left="-2" w:leftChars="-1" w:firstLine="427" w:firstLineChars="178"/>
        <w:jc w:val="left"/>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4.2.5</w:t>
      </w:r>
      <w:r>
        <w:rPr>
          <w:rFonts w:hint="eastAsia" w:ascii="宋体" w:hAnsi="宋体" w:eastAsia="宋体" w:cs="宋体"/>
          <w:kern w:val="0"/>
          <w:sz w:val="24"/>
          <w:lang w:val="zh-CN" w:bidi="ar"/>
        </w:rPr>
        <w:t>履约担保的退还时间：合同终止后，按照协议履行相关义务，未造成违约，15个工作日后无息退还保证金。</w:t>
      </w:r>
    </w:p>
    <w:p>
      <w:pPr>
        <w:pStyle w:val="3"/>
        <w:numPr>
          <w:ilvl w:val="0"/>
          <w:numId w:val="0"/>
        </w:numPr>
        <w:rPr>
          <w:rFonts w:hint="eastAsia" w:ascii="宋体" w:hAnsi="宋体" w:eastAsia="宋体" w:cs="宋体"/>
          <w:sz w:val="24"/>
          <w:szCs w:val="24"/>
          <w:lang w:val="zh-CN"/>
        </w:rPr>
      </w:pPr>
      <w:bookmarkStart w:id="332" w:name="_Toc21355"/>
      <w:bookmarkStart w:id="333" w:name="_Toc32147"/>
      <w:r>
        <w:rPr>
          <w:rFonts w:hint="eastAsia" w:ascii="宋体" w:hAnsi="宋体" w:eastAsia="宋体" w:cs="宋体"/>
          <w:sz w:val="24"/>
          <w:szCs w:val="24"/>
        </w:rPr>
        <w:t>六</w:t>
      </w:r>
      <w:r>
        <w:rPr>
          <w:rFonts w:hint="eastAsia" w:ascii="宋体" w:hAnsi="宋体" w:eastAsia="宋体" w:cs="宋体"/>
          <w:sz w:val="24"/>
          <w:szCs w:val="24"/>
          <w:lang w:val="zh-CN"/>
        </w:rPr>
        <w:t>、知识产权和保密义务</w:t>
      </w:r>
      <w:bookmarkEnd w:id="332"/>
      <w:bookmarkEnd w:id="333"/>
    </w:p>
    <w:p>
      <w:pPr>
        <w:pStyle w:val="155"/>
        <w:numPr>
          <w:ilvl w:val="0"/>
          <w:numId w:val="0"/>
        </w:numPr>
        <w:autoSpaceDE w:val="0"/>
        <w:autoSpaceDN w:val="0"/>
        <w:adjustRightInd w:val="0"/>
        <w:spacing w:line="360" w:lineRule="auto"/>
        <w:ind w:left="-2" w:leftChars="0"/>
        <w:jc w:val="left"/>
        <w:rPr>
          <w:rFonts w:hint="eastAsia" w:ascii="宋体" w:hAnsi="宋体" w:eastAsia="宋体" w:cs="宋体"/>
          <w:kern w:val="0"/>
          <w:sz w:val="24"/>
          <w:lang w:val="zh-CN"/>
        </w:rPr>
      </w:pPr>
      <w:r>
        <w:rPr>
          <w:rFonts w:hint="eastAsia" w:ascii="宋体" w:hAnsi="宋体" w:eastAsia="宋体" w:cs="宋体"/>
          <w:kern w:val="0"/>
          <w:sz w:val="24"/>
          <w:lang w:val="en-US" w:eastAsia="zh-CN" w:bidi="ar"/>
        </w:rPr>
        <w:t>1、</w:t>
      </w:r>
      <w:r>
        <w:rPr>
          <w:rFonts w:hint="eastAsia" w:ascii="宋体" w:hAnsi="宋体" w:eastAsia="宋体" w:cs="宋体"/>
          <w:kern w:val="0"/>
          <w:sz w:val="24"/>
          <w:lang w:val="zh-CN" w:bidi="ar"/>
        </w:rPr>
        <w:t>知识产权</w:t>
      </w:r>
    </w:p>
    <w:p>
      <w:pPr>
        <w:autoSpaceDE w:val="0"/>
        <w:autoSpaceDN w:val="0"/>
        <w:adjustRightInd w:val="0"/>
        <w:spacing w:line="360" w:lineRule="auto"/>
        <w:ind w:left="-2" w:leftChars="-1" w:firstLine="427" w:firstLineChars="178"/>
        <w:jc w:val="left"/>
        <w:rPr>
          <w:rFonts w:hint="eastAsia" w:ascii="宋体" w:hAnsi="宋体" w:eastAsia="宋体" w:cs="宋体"/>
          <w:kern w:val="0"/>
          <w:sz w:val="24"/>
          <w:lang w:val="zh-CN"/>
        </w:rPr>
      </w:pPr>
      <w:r>
        <w:rPr>
          <w:rFonts w:hint="eastAsia" w:ascii="宋体" w:hAnsi="宋体" w:eastAsia="宋体" w:cs="宋体"/>
          <w:kern w:val="0"/>
          <w:sz w:val="24"/>
          <w:lang w:val="zh-CN" w:bidi="ar"/>
        </w:rPr>
        <w:t>甲乙双方应当对本合同所涉及的各种软件的知识产权进行约定，以保证本项目使用的软件不会侵犯对方或第三方的知识产权。</w:t>
      </w:r>
    </w:p>
    <w:p>
      <w:pPr>
        <w:autoSpaceDE w:val="0"/>
        <w:autoSpaceDN w:val="0"/>
        <w:adjustRightInd w:val="0"/>
        <w:spacing w:line="360" w:lineRule="auto"/>
        <w:ind w:left="-2" w:leftChars="-1" w:firstLine="427" w:firstLineChars="178"/>
        <w:jc w:val="left"/>
        <w:rPr>
          <w:rFonts w:hint="eastAsia" w:ascii="宋体" w:hAnsi="宋体" w:eastAsia="宋体" w:cs="宋体"/>
          <w:b/>
          <w:kern w:val="0"/>
          <w:sz w:val="24"/>
          <w:lang w:val="zh-CN"/>
        </w:rPr>
      </w:pPr>
      <w:r>
        <w:rPr>
          <w:rFonts w:hint="eastAsia" w:ascii="宋体" w:hAnsi="宋体" w:eastAsia="宋体" w:cs="宋体"/>
          <w:kern w:val="0"/>
          <w:sz w:val="24"/>
          <w:lang w:val="zh-CN" w:bidi="ar"/>
        </w:rPr>
        <w:t>乙方保证，对于其提供的软件系统拥有知识产权或已获得权利人的授权，本项目使用乙方提供的软件不会侵犯第三方的合法权益，否则乙方应当负责处理索赔或涉诉等各项事宜，造成甲方损失的，乙方还应当承担赔偿责任。</w:t>
      </w:r>
    </w:p>
    <w:p>
      <w:pPr>
        <w:autoSpaceDE w:val="0"/>
        <w:autoSpaceDN w:val="0"/>
        <w:adjustRightInd w:val="0"/>
        <w:spacing w:line="360" w:lineRule="auto"/>
        <w:ind w:left="-2" w:leftChars="-1" w:firstLine="427" w:firstLineChars="178"/>
        <w:jc w:val="left"/>
        <w:rPr>
          <w:rFonts w:hint="eastAsia" w:ascii="宋体" w:hAnsi="宋体" w:eastAsia="宋体" w:cs="宋体"/>
          <w:kern w:val="0"/>
          <w:sz w:val="24"/>
          <w:lang w:val="zh-CN"/>
        </w:rPr>
      </w:pPr>
      <w:r>
        <w:rPr>
          <w:rFonts w:hint="eastAsia" w:ascii="宋体" w:hAnsi="宋体" w:eastAsia="宋体" w:cs="宋体"/>
          <w:kern w:val="0"/>
          <w:sz w:val="24"/>
          <w:lang w:val="zh-CN" w:bidi="ar"/>
        </w:rPr>
        <w:t>对于乙方许可甲方使用的软件，双方应当明确约定甲方拥有的使用权、修改权、升级权的具体内容。甲方应当依约定使用，不得超出约定范围。除本合同另有约定外，甲方不得将被许可使用的软件再许可第三方使用。</w:t>
      </w:r>
    </w:p>
    <w:p>
      <w:pPr>
        <w:pStyle w:val="155"/>
        <w:numPr>
          <w:ilvl w:val="0"/>
          <w:numId w:val="0"/>
        </w:numPr>
        <w:autoSpaceDE w:val="0"/>
        <w:autoSpaceDN w:val="0"/>
        <w:adjustRightInd w:val="0"/>
        <w:spacing w:line="360" w:lineRule="auto"/>
        <w:ind w:left="-2" w:leftChars="0"/>
        <w:jc w:val="left"/>
        <w:rPr>
          <w:rFonts w:hint="eastAsia" w:ascii="宋体" w:hAnsi="宋体" w:eastAsia="宋体" w:cs="宋体"/>
          <w:kern w:val="0"/>
          <w:sz w:val="24"/>
          <w:lang w:val="zh-CN" w:bidi="ar"/>
        </w:rPr>
      </w:pPr>
      <w:r>
        <w:rPr>
          <w:rFonts w:hint="eastAsia" w:ascii="宋体" w:hAnsi="宋体" w:eastAsia="宋体" w:cs="宋体"/>
          <w:kern w:val="0"/>
          <w:sz w:val="24"/>
          <w:lang w:val="en-US" w:eastAsia="zh-CN" w:bidi="ar"/>
        </w:rPr>
        <w:t>2、</w:t>
      </w:r>
      <w:r>
        <w:rPr>
          <w:rFonts w:hint="eastAsia" w:ascii="宋体" w:hAnsi="宋体" w:eastAsia="宋体" w:cs="宋体"/>
          <w:kern w:val="0"/>
          <w:sz w:val="24"/>
          <w:lang w:val="zh-CN" w:bidi="ar"/>
        </w:rPr>
        <w:t>保密</w:t>
      </w:r>
    </w:p>
    <w:p>
      <w:pPr>
        <w:autoSpaceDE w:val="0"/>
        <w:autoSpaceDN w:val="0"/>
        <w:adjustRightInd w:val="0"/>
        <w:spacing w:line="360" w:lineRule="auto"/>
        <w:ind w:left="-2" w:leftChars="-1" w:firstLine="427" w:firstLineChars="178"/>
        <w:jc w:val="left"/>
        <w:rPr>
          <w:rFonts w:hint="eastAsia" w:ascii="宋体" w:hAnsi="宋体" w:eastAsia="宋体" w:cs="宋体"/>
          <w:kern w:val="0"/>
          <w:sz w:val="24"/>
          <w:lang w:val="zh-CN" w:bidi="ar"/>
        </w:rPr>
      </w:pPr>
      <w:r>
        <w:rPr>
          <w:rFonts w:hint="eastAsia" w:ascii="宋体" w:hAnsi="宋体" w:eastAsia="宋体" w:cs="宋体"/>
          <w:kern w:val="0"/>
          <w:sz w:val="24"/>
          <w:lang w:val="zh-CN" w:bidi="ar"/>
        </w:rPr>
        <w:t>保密期限为本合同履行期间及本合同终止后</w:t>
      </w:r>
      <w:r>
        <w:rPr>
          <w:rFonts w:hint="eastAsia" w:ascii="宋体" w:hAnsi="宋体" w:eastAsia="宋体" w:cs="宋体"/>
          <w:kern w:val="0"/>
          <w:sz w:val="24"/>
          <w:u w:val="single"/>
          <w:lang w:val="zh-CN" w:bidi="ar"/>
        </w:rPr>
        <w:t>3</w:t>
      </w:r>
      <w:r>
        <w:rPr>
          <w:rFonts w:hint="eastAsia" w:ascii="宋体" w:hAnsi="宋体" w:eastAsia="宋体" w:cs="宋体"/>
          <w:kern w:val="0"/>
          <w:sz w:val="24"/>
          <w:lang w:val="zh-CN" w:bidi="ar"/>
        </w:rPr>
        <w:t>年。甲乙双方可另行约定保密范围，作为附件。</w:t>
      </w:r>
    </w:p>
    <w:p>
      <w:pPr>
        <w:autoSpaceDE w:val="0"/>
        <w:autoSpaceDN w:val="0"/>
        <w:adjustRightInd w:val="0"/>
        <w:spacing w:line="360" w:lineRule="auto"/>
        <w:ind w:left="-2" w:leftChars="-1" w:firstLine="427" w:firstLineChars="178"/>
        <w:jc w:val="left"/>
        <w:rPr>
          <w:rFonts w:hint="eastAsia" w:ascii="宋体" w:hAnsi="宋体" w:eastAsia="宋体" w:cs="宋体"/>
          <w:kern w:val="0"/>
          <w:sz w:val="24"/>
          <w:lang w:val="zh-CN"/>
        </w:rPr>
      </w:pPr>
      <w:r>
        <w:rPr>
          <w:rFonts w:hint="eastAsia" w:ascii="宋体" w:hAnsi="宋体" w:eastAsia="宋体" w:cs="宋体"/>
          <w:kern w:val="0"/>
          <w:sz w:val="24"/>
          <w:lang w:val="zh-CN" w:bidi="ar"/>
        </w:rPr>
        <w:t>乙方应对从甲方获得的个人用户信息进行脱敏处理，包括不限于用户身份证号、姓名、联系电话、用户地址等。</w:t>
      </w:r>
    </w:p>
    <w:p>
      <w:pPr>
        <w:autoSpaceDE w:val="0"/>
        <w:autoSpaceDN w:val="0"/>
        <w:adjustRightInd w:val="0"/>
        <w:spacing w:line="360" w:lineRule="auto"/>
        <w:ind w:left="-2" w:leftChars="-1" w:firstLine="427" w:firstLineChars="178"/>
        <w:jc w:val="left"/>
        <w:rPr>
          <w:rFonts w:hint="eastAsia" w:ascii="宋体" w:hAnsi="宋体" w:eastAsia="宋体" w:cs="宋体"/>
          <w:kern w:val="0"/>
          <w:sz w:val="24"/>
          <w:lang w:val="zh-CN"/>
        </w:rPr>
      </w:pPr>
      <w:r>
        <w:rPr>
          <w:rFonts w:hint="eastAsia" w:ascii="宋体" w:hAnsi="宋体" w:eastAsia="宋体" w:cs="宋体"/>
          <w:kern w:val="0"/>
          <w:sz w:val="24"/>
          <w:lang w:val="zh-CN" w:bidi="ar"/>
        </w:rPr>
        <w:t>在保密期限内,甲乙双方均有为对方保密的义务。甲乙双方保证，因履行本合同所获得的对方商业秘密，仅用于履行本合同项下的义务，并只为履行本合同的相关人员所知悉。任何一方的相关人员违反保密义务的，由该人员所属一方承担全部法律责任；但法律另有规定的除外。</w:t>
      </w:r>
    </w:p>
    <w:p>
      <w:pPr>
        <w:autoSpaceDE w:val="0"/>
        <w:autoSpaceDN w:val="0"/>
        <w:adjustRightInd w:val="0"/>
        <w:spacing w:line="360" w:lineRule="auto"/>
        <w:ind w:left="-2" w:leftChars="-1" w:firstLine="427" w:firstLineChars="178"/>
        <w:jc w:val="left"/>
        <w:rPr>
          <w:rFonts w:hint="eastAsia" w:ascii="宋体" w:hAnsi="宋体" w:eastAsia="宋体" w:cs="宋体"/>
          <w:kern w:val="0"/>
          <w:sz w:val="24"/>
          <w:lang w:val="zh-CN"/>
        </w:rPr>
      </w:pPr>
      <w:r>
        <w:rPr>
          <w:rFonts w:hint="eastAsia" w:ascii="宋体" w:hAnsi="宋体" w:eastAsia="宋体" w:cs="宋体"/>
          <w:kern w:val="0"/>
          <w:sz w:val="24"/>
          <w:lang w:val="zh-CN" w:bidi="ar"/>
        </w:rPr>
        <w:t>本合同履行完毕后，甲乙双方均应当按照对方要求，处理所获得的对方有关资料信息或电子文档。</w:t>
      </w:r>
    </w:p>
    <w:p>
      <w:pPr>
        <w:pStyle w:val="3"/>
        <w:numPr>
          <w:ilvl w:val="0"/>
          <w:numId w:val="0"/>
        </w:numPr>
        <w:rPr>
          <w:rFonts w:hint="eastAsia" w:ascii="宋体" w:hAnsi="宋体" w:eastAsia="宋体" w:cs="宋体"/>
          <w:sz w:val="24"/>
          <w:szCs w:val="24"/>
        </w:rPr>
      </w:pPr>
      <w:bookmarkStart w:id="334" w:name="_Toc21479"/>
      <w:bookmarkStart w:id="335" w:name="_Toc23561"/>
      <w:r>
        <w:rPr>
          <w:rFonts w:hint="eastAsia" w:ascii="宋体" w:hAnsi="宋体" w:eastAsia="宋体" w:cs="宋体"/>
          <w:sz w:val="24"/>
          <w:szCs w:val="24"/>
        </w:rPr>
        <w:t>七、违约责任</w:t>
      </w:r>
      <w:bookmarkEnd w:id="334"/>
      <w:bookmarkEnd w:id="335"/>
      <w:r>
        <w:rPr>
          <w:rFonts w:hint="eastAsia" w:ascii="宋体" w:hAnsi="宋体" w:eastAsia="宋体" w:cs="宋体"/>
          <w:sz w:val="24"/>
          <w:szCs w:val="24"/>
        </w:rPr>
        <w:t xml:space="preserve"> </w:t>
      </w:r>
    </w:p>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本合同生效后，甲乙双方均应当全面履行合同义务。任何一方违约，均应当按照约定承担违约责任，并赔偿对方由此受到的损失。其中： </w:t>
      </w:r>
    </w:p>
    <w:p>
      <w:pPr>
        <w:widowControl/>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 xml:space="preserve">1.甲方逾期付款责任 </w:t>
      </w:r>
    </w:p>
    <w:p>
      <w:pPr>
        <w:widowControl/>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 xml:space="preserve">    因甲方单方面原因，未按照协议约定的期限完成付款的，每逾期一日，甲方应当向乙方支付合同应付款的0.5‰的违约金，上述违约金不解除甲方的付款责任。</w:t>
      </w:r>
    </w:p>
    <w:p>
      <w:pPr>
        <w:widowControl/>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 xml:space="preserve">2.乙方违约保密协议 </w:t>
      </w:r>
    </w:p>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乙方须严格遵守甲方客户信息和内部管理保密工作制度，未经甲方书面授权，乙方驻场人员及其工作人员不得将甲方客户信息、电话录音、业务处理流程及其他相关资料以任何形式带离工作场所或用作其他用途。否则，金甲方有权解除合同并追究乙方责任。</w:t>
      </w:r>
    </w:p>
    <w:p>
      <w:pPr>
        <w:pStyle w:val="3"/>
        <w:numPr>
          <w:ilvl w:val="0"/>
          <w:numId w:val="0"/>
        </w:numPr>
        <w:rPr>
          <w:rFonts w:hint="eastAsia" w:ascii="宋体" w:hAnsi="宋体" w:eastAsia="宋体" w:cs="宋体"/>
          <w:sz w:val="24"/>
          <w:szCs w:val="24"/>
        </w:rPr>
      </w:pPr>
      <w:bookmarkStart w:id="336" w:name="_Toc3928"/>
      <w:bookmarkStart w:id="337" w:name="_Toc24608"/>
      <w:r>
        <w:rPr>
          <w:rFonts w:hint="eastAsia" w:ascii="宋体" w:hAnsi="宋体" w:eastAsia="宋体" w:cs="宋体"/>
          <w:sz w:val="24"/>
          <w:szCs w:val="24"/>
        </w:rPr>
        <w:t>八、不可抗力</w:t>
      </w:r>
      <w:bookmarkEnd w:id="336"/>
      <w:bookmarkEnd w:id="337"/>
      <w:r>
        <w:rPr>
          <w:rFonts w:hint="eastAsia" w:ascii="宋体" w:hAnsi="宋体" w:eastAsia="宋体" w:cs="宋体"/>
          <w:sz w:val="24"/>
          <w:szCs w:val="24"/>
        </w:rPr>
        <w:t xml:space="preserve"> </w:t>
      </w:r>
    </w:p>
    <w:p>
      <w:pPr>
        <w:pStyle w:val="155"/>
        <w:widowControl/>
        <w:numPr>
          <w:ilvl w:val="0"/>
          <w:numId w:val="0"/>
        </w:numPr>
        <w:spacing w:line="360" w:lineRule="auto"/>
        <w:ind w:leftChars="0"/>
        <w:jc w:val="left"/>
        <w:rPr>
          <w:rFonts w:hint="eastAsia" w:ascii="宋体" w:hAnsi="宋体" w:eastAsia="宋体" w:cs="宋体"/>
          <w:kern w:val="0"/>
          <w:sz w:val="24"/>
        </w:rPr>
      </w:pP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 xml:space="preserve">“不可抗力”是指本协议双方不能合理控制、不可预见或即使预见亦无法避免的事件，该事件妨碍、影响或延误任何一方根据本协议履行其全部或部分义务。该事件包括但不限于自然灾害、疫情、战争、火灾、暴动、罢工、英特网连接故障、计算机系统故障、通讯故障、电脑病毒、黑客入侵或任何其它类似的且依据商业惯例被视为不可抗力的事件。 </w:t>
      </w:r>
    </w:p>
    <w:p>
      <w:pPr>
        <w:pStyle w:val="155"/>
        <w:widowControl/>
        <w:numPr>
          <w:ilvl w:val="0"/>
          <w:numId w:val="0"/>
        </w:numPr>
        <w:spacing w:line="360" w:lineRule="auto"/>
        <w:ind w:leftChars="0"/>
        <w:jc w:val="left"/>
        <w:rPr>
          <w:rFonts w:hint="eastAsia" w:ascii="宋体" w:hAnsi="宋体" w:eastAsia="宋体" w:cs="宋体"/>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 xml:space="preserve">遭受不可抗力事件的一方可暂时中止履行本协议项下的义务直至不可抗力事件的影响消除为止。该方应于出现不可抗力事件时及时、充分地向对方以书面形式发出通知，提前15日告知对方该类事件对本协议可能产生的影响，并应尽最大努力克服该事件，减轻其负面影响，并且该方并应当在合理期限内提供相关公证机关出具的书面证明。在履行上述义务后，该遭受不可抗力事件的一方可于受不可抗力影响的范围内无需为此而承担违约责任。 </w:t>
      </w:r>
    </w:p>
    <w:p>
      <w:pPr>
        <w:pStyle w:val="155"/>
        <w:widowControl/>
        <w:numPr>
          <w:ilvl w:val="0"/>
          <w:numId w:val="0"/>
        </w:numPr>
        <w:spacing w:line="360" w:lineRule="auto"/>
        <w:ind w:leftChars="0"/>
        <w:jc w:val="left"/>
        <w:rPr>
          <w:rFonts w:hint="eastAsia" w:ascii="宋体" w:hAnsi="宋体" w:eastAsia="宋体" w:cs="宋体"/>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 xml:space="preserve">如不可抗力事件持续30日以上的，任何一方有权以书面通知的方式单方解除本协议，本协议自对方收到书面解除通知之日起解除。 </w:t>
      </w:r>
    </w:p>
    <w:p>
      <w:pPr>
        <w:pStyle w:val="3"/>
        <w:numPr>
          <w:ilvl w:val="0"/>
          <w:numId w:val="0"/>
        </w:numPr>
        <w:rPr>
          <w:rFonts w:hint="eastAsia" w:ascii="宋体" w:hAnsi="宋体" w:eastAsia="宋体" w:cs="宋体"/>
          <w:sz w:val="24"/>
          <w:szCs w:val="24"/>
        </w:rPr>
      </w:pPr>
      <w:bookmarkStart w:id="338" w:name="_Toc13955"/>
      <w:bookmarkStart w:id="339" w:name="_Toc4511"/>
      <w:r>
        <w:rPr>
          <w:rFonts w:hint="eastAsia" w:ascii="宋体" w:hAnsi="宋体" w:eastAsia="宋体" w:cs="宋体"/>
          <w:sz w:val="24"/>
          <w:szCs w:val="24"/>
        </w:rPr>
        <w:t>九、其他</w:t>
      </w:r>
      <w:bookmarkEnd w:id="338"/>
      <w:bookmarkEnd w:id="339"/>
      <w:r>
        <w:rPr>
          <w:rFonts w:hint="eastAsia" w:ascii="宋体" w:hAnsi="宋体" w:eastAsia="宋体" w:cs="宋体"/>
          <w:sz w:val="24"/>
          <w:szCs w:val="24"/>
        </w:rPr>
        <w:t xml:space="preserve"> </w:t>
      </w:r>
    </w:p>
    <w:p>
      <w:pPr>
        <w:widowControl/>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1. 甲、乙双方在对方未违约的情况下，因业务发展或其他原因需提前终止合作的，应提前90天告知对方。</w:t>
      </w:r>
    </w:p>
    <w:p>
      <w:pPr>
        <w:widowControl/>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2. 争议解决：由于本协议有关事宜引起争议，合同双方应首先力求以友好协商的方式予以解决。如协商不成，任何一方可将争议向原告所在地法院提起诉讼。</w:t>
      </w:r>
    </w:p>
    <w:p>
      <w:pPr>
        <w:widowControl/>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 xml:space="preserve">3. 通知和送达除本协议另有约定，甲方与乙方应就签署、履行、解除本协议所涉的一切通知均通过电子邮件、挂号信邮递、特快专递等书面方式送达如下地址： </w:t>
      </w:r>
    </w:p>
    <w:p>
      <w:pPr>
        <w:widowControl/>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 xml:space="preserve">甲方收件地址： </w:t>
      </w:r>
    </w:p>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甲方联系人</w:t>
      </w:r>
    </w:p>
    <w:p>
      <w:pPr>
        <w:widowControl/>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 xml:space="preserve">联系电话： </w:t>
      </w:r>
    </w:p>
    <w:p>
      <w:pPr>
        <w:widowControl/>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 xml:space="preserve">甲方电子邮箱: </w:t>
      </w:r>
    </w:p>
    <w:p>
      <w:pPr>
        <w:widowControl/>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 xml:space="preserve">乙方收件地址： </w:t>
      </w:r>
    </w:p>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乙方联系人</w:t>
      </w:r>
    </w:p>
    <w:p>
      <w:pPr>
        <w:widowControl/>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 xml:space="preserve">联系电话： </w:t>
      </w:r>
    </w:p>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乙方电子邮箱</w:t>
      </w:r>
    </w:p>
    <w:p>
      <w:pPr>
        <w:widowControl/>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 xml:space="preserve">4. 本协议及附件一、附件二均一式四份，甲乙双方各二份，具有同等法律效力。 </w:t>
      </w:r>
    </w:p>
    <w:p>
      <w:pPr>
        <w:widowControl/>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 xml:space="preserve">5. 本协议自双方均在落款处签字、盖章，并连同协议正文及各附件一、附件二并加盖骑缝章后生效。 </w:t>
      </w:r>
    </w:p>
    <w:p>
      <w:pPr>
        <w:widowControl/>
        <w:spacing w:line="360" w:lineRule="auto"/>
        <w:jc w:val="left"/>
        <w:rPr>
          <w:rFonts w:hint="eastAsia" w:ascii="宋体" w:hAnsi="宋体" w:eastAsia="宋体" w:cs="宋体"/>
          <w:kern w:val="0"/>
          <w:sz w:val="24"/>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widowControl/>
              <w:spacing w:line="360" w:lineRule="auto"/>
              <w:jc w:val="left"/>
              <w:rPr>
                <w:rFonts w:hint="eastAsia" w:ascii="宋体" w:hAnsi="宋体" w:eastAsia="宋体" w:cs="宋体"/>
                <w:kern w:val="0"/>
                <w:sz w:val="24"/>
              </w:rPr>
            </w:pPr>
            <w:r>
              <w:rPr>
                <w:rFonts w:hint="eastAsia" w:ascii="宋体" w:hAnsi="宋体" w:eastAsia="宋体" w:cs="宋体"/>
                <w:b/>
                <w:bCs/>
                <w:color w:val="000000"/>
                <w:kern w:val="0"/>
                <w:sz w:val="24"/>
              </w:rPr>
              <w:t xml:space="preserve">[甲方] （盖章）： </w:t>
            </w:r>
          </w:p>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授权代表签字： </w:t>
            </w:r>
          </w:p>
          <w:p>
            <w:pPr>
              <w:widowControl/>
              <w:spacing w:line="360" w:lineRule="auto"/>
              <w:jc w:val="left"/>
              <w:rPr>
                <w:rFonts w:hint="eastAsia" w:ascii="宋体" w:hAnsi="宋体" w:eastAsia="宋体" w:cs="宋体"/>
                <w:color w:val="000000"/>
                <w:kern w:val="0"/>
                <w:sz w:val="24"/>
              </w:rPr>
            </w:pPr>
          </w:p>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职务： </w:t>
            </w:r>
          </w:p>
          <w:p>
            <w:pPr>
              <w:widowControl/>
              <w:spacing w:line="360" w:lineRule="auto"/>
              <w:jc w:val="left"/>
              <w:rPr>
                <w:rFonts w:hint="eastAsia" w:ascii="宋体" w:hAnsi="宋体" w:eastAsia="宋体" w:cs="宋体"/>
                <w:color w:val="000000"/>
                <w:kern w:val="0"/>
                <w:sz w:val="24"/>
              </w:rPr>
            </w:pPr>
          </w:p>
          <w:p>
            <w:pPr>
              <w:widowControl/>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 xml:space="preserve">日期： </w:t>
            </w:r>
          </w:p>
        </w:tc>
        <w:tc>
          <w:tcPr>
            <w:tcW w:w="4148" w:type="dxa"/>
          </w:tcPr>
          <w:p>
            <w:pPr>
              <w:widowControl/>
              <w:spacing w:line="360" w:lineRule="auto"/>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[乙方]（盖章）：</w:t>
            </w:r>
          </w:p>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授权代表签字： </w:t>
            </w:r>
          </w:p>
          <w:p>
            <w:pPr>
              <w:widowControl/>
              <w:spacing w:line="360" w:lineRule="auto"/>
              <w:jc w:val="left"/>
              <w:rPr>
                <w:rFonts w:hint="eastAsia" w:ascii="宋体" w:hAnsi="宋体" w:eastAsia="宋体" w:cs="宋体"/>
                <w:color w:val="000000"/>
                <w:kern w:val="0"/>
                <w:sz w:val="24"/>
              </w:rPr>
            </w:pPr>
          </w:p>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职务： </w:t>
            </w:r>
          </w:p>
          <w:p>
            <w:pPr>
              <w:widowControl/>
              <w:spacing w:line="360" w:lineRule="auto"/>
              <w:jc w:val="left"/>
              <w:rPr>
                <w:rFonts w:hint="eastAsia" w:ascii="宋体" w:hAnsi="宋体" w:eastAsia="宋体" w:cs="宋体"/>
                <w:color w:val="000000"/>
                <w:kern w:val="0"/>
                <w:sz w:val="24"/>
              </w:rPr>
            </w:pPr>
          </w:p>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日期：</w:t>
            </w:r>
          </w:p>
        </w:tc>
      </w:tr>
    </w:tbl>
    <w:p>
      <w:pPr>
        <w:widowControl/>
        <w:spacing w:line="360" w:lineRule="auto"/>
        <w:jc w:val="left"/>
        <w:rPr>
          <w:rFonts w:hint="eastAsia" w:ascii="宋体" w:hAnsi="宋体" w:eastAsia="宋体" w:cs="宋体"/>
          <w:color w:val="000000"/>
          <w:kern w:val="0"/>
          <w:sz w:val="24"/>
        </w:rPr>
      </w:pPr>
    </w:p>
    <w:p>
      <w:pPr>
        <w:widowControl/>
        <w:spacing w:line="360" w:lineRule="auto"/>
        <w:jc w:val="left"/>
        <w:rPr>
          <w:rFonts w:hint="eastAsia" w:ascii="宋体" w:hAnsi="宋体" w:eastAsia="宋体" w:cs="宋体"/>
          <w:color w:val="000000"/>
          <w:kern w:val="0"/>
          <w:sz w:val="24"/>
        </w:rPr>
      </w:pPr>
    </w:p>
    <w:p>
      <w:pPr>
        <w:widowControl/>
        <w:spacing w:line="360" w:lineRule="auto"/>
        <w:jc w:val="left"/>
        <w:rPr>
          <w:rFonts w:hint="eastAsia" w:ascii="宋体" w:hAnsi="宋体" w:eastAsia="宋体" w:cs="宋体"/>
          <w:color w:val="000000"/>
          <w:kern w:val="0"/>
          <w:sz w:val="24"/>
        </w:rPr>
      </w:pPr>
    </w:p>
    <w:p>
      <w:pPr>
        <w:widowControl/>
        <w:spacing w:line="360" w:lineRule="auto"/>
        <w:jc w:val="left"/>
        <w:rPr>
          <w:rFonts w:hint="eastAsia" w:ascii="宋体" w:hAnsi="宋体" w:eastAsia="宋体" w:cs="宋体"/>
          <w:color w:val="000000"/>
          <w:kern w:val="0"/>
          <w:sz w:val="24"/>
          <w:lang w:val="en-GB" w:bidi="ar"/>
        </w:rPr>
      </w:pPr>
      <w:r>
        <w:rPr>
          <w:rFonts w:hint="eastAsia" w:ascii="宋体" w:hAnsi="宋体" w:eastAsia="宋体" w:cs="宋体"/>
          <w:color w:val="000000"/>
          <w:kern w:val="0"/>
          <w:sz w:val="24"/>
        </w:rPr>
        <w:t>附件一：</w:t>
      </w:r>
      <w:r>
        <w:rPr>
          <w:rFonts w:hint="eastAsia" w:ascii="宋体" w:hAnsi="宋体" w:eastAsia="宋体" w:cs="宋体"/>
          <w:color w:val="000000"/>
          <w:kern w:val="0"/>
          <w:sz w:val="24"/>
          <w:lang w:val="en-GB" w:bidi="ar"/>
        </w:rPr>
        <w:t>《热线外包服务考核考核标准》</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line="360" w:lineRule="auto"/>
              <w:jc w:val="center"/>
              <w:rPr>
                <w:rFonts w:hint="eastAsia" w:ascii="宋体" w:hAnsi="宋体" w:eastAsia="宋体" w:cs="宋体"/>
                <w:b/>
                <w:bCs/>
                <w:color w:val="000000"/>
                <w:kern w:val="0"/>
                <w:sz w:val="24"/>
                <w:lang w:val="en-GB" w:bidi="ar"/>
              </w:rPr>
            </w:pPr>
            <w:r>
              <w:rPr>
                <w:rFonts w:hint="eastAsia" w:ascii="宋体" w:hAnsi="宋体" w:eastAsia="宋体" w:cs="宋体"/>
                <w:b/>
                <w:bCs/>
                <w:color w:val="000000"/>
                <w:kern w:val="0"/>
                <w:sz w:val="24"/>
                <w:lang w:val="en-GB" w:bidi="ar"/>
              </w:rPr>
              <w:t>指标</w:t>
            </w:r>
          </w:p>
        </w:tc>
        <w:tc>
          <w:tcPr>
            <w:tcW w:w="2841" w:type="dxa"/>
          </w:tcPr>
          <w:p>
            <w:pPr>
              <w:widowControl/>
              <w:spacing w:line="360" w:lineRule="auto"/>
              <w:jc w:val="center"/>
              <w:rPr>
                <w:rFonts w:hint="eastAsia" w:ascii="宋体" w:hAnsi="宋体" w:eastAsia="宋体" w:cs="宋体"/>
                <w:b/>
                <w:bCs/>
                <w:color w:val="000000"/>
                <w:kern w:val="0"/>
                <w:sz w:val="24"/>
                <w:lang w:val="en-GB" w:bidi="ar"/>
              </w:rPr>
            </w:pPr>
            <w:r>
              <w:rPr>
                <w:rFonts w:hint="eastAsia" w:ascii="宋体" w:hAnsi="宋体" w:eastAsia="宋体" w:cs="宋体"/>
                <w:b/>
                <w:bCs/>
                <w:color w:val="000000"/>
                <w:kern w:val="0"/>
                <w:sz w:val="24"/>
                <w:lang w:val="en-GB" w:bidi="ar"/>
              </w:rPr>
              <w:t>实施后预估值</w:t>
            </w:r>
          </w:p>
        </w:tc>
        <w:tc>
          <w:tcPr>
            <w:tcW w:w="2841" w:type="dxa"/>
          </w:tcPr>
          <w:p>
            <w:pPr>
              <w:widowControl/>
              <w:spacing w:line="360" w:lineRule="auto"/>
              <w:jc w:val="center"/>
              <w:rPr>
                <w:rFonts w:hint="eastAsia" w:ascii="宋体" w:hAnsi="宋体" w:eastAsia="宋体" w:cs="宋体"/>
                <w:b/>
                <w:bCs/>
                <w:color w:val="000000"/>
                <w:kern w:val="0"/>
                <w:sz w:val="24"/>
                <w:lang w:val="en-GB" w:bidi="ar"/>
              </w:rPr>
            </w:pPr>
            <w:r>
              <w:rPr>
                <w:rFonts w:hint="eastAsia" w:ascii="宋体" w:hAnsi="宋体" w:eastAsia="宋体" w:cs="宋体"/>
                <w:b/>
                <w:bCs/>
                <w:color w:val="000000"/>
                <w:kern w:val="0"/>
                <w:sz w:val="24"/>
                <w:lang w:val="en-GB"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line="360" w:lineRule="auto"/>
              <w:jc w:val="left"/>
              <w:rPr>
                <w:rFonts w:hint="eastAsia" w:ascii="宋体" w:hAnsi="宋体" w:eastAsia="宋体" w:cs="宋体"/>
                <w:color w:val="000000"/>
                <w:kern w:val="0"/>
                <w:sz w:val="24"/>
                <w:lang w:val="en-GB" w:bidi="ar"/>
              </w:rPr>
            </w:pPr>
            <w:r>
              <w:rPr>
                <w:rFonts w:hint="eastAsia" w:ascii="宋体" w:hAnsi="宋体" w:eastAsia="宋体" w:cs="宋体"/>
                <w:color w:val="000000"/>
                <w:kern w:val="0"/>
                <w:sz w:val="24"/>
                <w:lang w:val="en-GB" w:bidi="ar"/>
              </w:rPr>
              <w:t>接通率</w:t>
            </w:r>
          </w:p>
        </w:tc>
        <w:tc>
          <w:tcPr>
            <w:tcW w:w="2841" w:type="dxa"/>
          </w:tcPr>
          <w:p>
            <w:pPr>
              <w:widowControl/>
              <w:spacing w:line="360" w:lineRule="auto"/>
              <w:jc w:val="center"/>
              <w:rPr>
                <w:rFonts w:hint="eastAsia" w:ascii="宋体" w:hAnsi="宋体" w:eastAsia="宋体" w:cs="宋体"/>
                <w:color w:val="000000"/>
                <w:kern w:val="0"/>
                <w:sz w:val="24"/>
                <w:lang w:val="en-GB" w:bidi="ar"/>
              </w:rPr>
            </w:pPr>
            <w:r>
              <w:rPr>
                <w:rFonts w:hint="eastAsia" w:ascii="宋体" w:hAnsi="宋体" w:eastAsia="宋体" w:cs="宋体"/>
                <w:color w:val="000000"/>
                <w:kern w:val="0"/>
                <w:sz w:val="24"/>
                <w:lang w:val="en-GB" w:bidi="ar"/>
              </w:rPr>
              <w:t>80%</w:t>
            </w:r>
          </w:p>
        </w:tc>
        <w:tc>
          <w:tcPr>
            <w:tcW w:w="2841" w:type="dxa"/>
            <w:vMerge w:val="restart"/>
          </w:tcPr>
          <w:p>
            <w:pPr>
              <w:widowControl/>
              <w:spacing w:line="360" w:lineRule="auto"/>
              <w:jc w:val="left"/>
              <w:rPr>
                <w:rFonts w:hint="eastAsia" w:ascii="宋体" w:hAnsi="宋体" w:eastAsia="宋体" w:cs="宋体"/>
                <w:color w:val="000000"/>
                <w:kern w:val="0"/>
                <w:sz w:val="24"/>
                <w:lang w:val="en-GB" w:bidi="ar"/>
              </w:rPr>
            </w:pPr>
            <w:r>
              <w:rPr>
                <w:rFonts w:hint="eastAsia" w:ascii="宋体" w:hAnsi="宋体" w:eastAsia="宋体" w:cs="宋体"/>
                <w:color w:val="000000"/>
                <w:kern w:val="0"/>
                <w:sz w:val="24"/>
                <w:lang w:val="en-GB" w:bidi="ar"/>
              </w:rPr>
              <w:t>因无实施前指标数据参考，考核指标为暂时。待数据沉淀后，双方协同指定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line="360" w:lineRule="auto"/>
              <w:jc w:val="left"/>
              <w:rPr>
                <w:rFonts w:hint="eastAsia" w:ascii="宋体" w:hAnsi="宋体" w:eastAsia="宋体" w:cs="宋体"/>
                <w:color w:val="000000"/>
                <w:kern w:val="0"/>
                <w:sz w:val="24"/>
                <w:lang w:val="en-GB" w:bidi="ar"/>
              </w:rPr>
            </w:pPr>
            <w:r>
              <w:rPr>
                <w:rFonts w:hint="eastAsia" w:ascii="宋体" w:hAnsi="宋体" w:eastAsia="宋体" w:cs="宋体"/>
                <w:color w:val="000000"/>
                <w:kern w:val="0"/>
                <w:sz w:val="24"/>
                <w:lang w:val="en-GB" w:bidi="ar"/>
              </w:rPr>
              <w:t>留单率</w:t>
            </w:r>
          </w:p>
        </w:tc>
        <w:tc>
          <w:tcPr>
            <w:tcW w:w="2841" w:type="dxa"/>
          </w:tcPr>
          <w:p>
            <w:pPr>
              <w:widowControl/>
              <w:spacing w:line="360" w:lineRule="auto"/>
              <w:jc w:val="center"/>
              <w:rPr>
                <w:rFonts w:hint="eastAsia" w:ascii="宋体" w:hAnsi="宋体" w:eastAsia="宋体" w:cs="宋体"/>
                <w:color w:val="000000"/>
                <w:kern w:val="0"/>
                <w:sz w:val="24"/>
                <w:lang w:val="en-GB" w:bidi="ar"/>
              </w:rPr>
            </w:pPr>
            <w:r>
              <w:rPr>
                <w:rFonts w:hint="eastAsia" w:ascii="宋体" w:hAnsi="宋体" w:eastAsia="宋体" w:cs="宋体"/>
                <w:color w:val="000000"/>
                <w:kern w:val="0"/>
                <w:sz w:val="24"/>
                <w:lang w:val="en-GB" w:bidi="ar"/>
              </w:rPr>
              <w:t>100%</w:t>
            </w:r>
          </w:p>
        </w:tc>
        <w:tc>
          <w:tcPr>
            <w:tcW w:w="2841" w:type="dxa"/>
            <w:vMerge w:val="continue"/>
          </w:tcPr>
          <w:p>
            <w:pPr>
              <w:widowControl/>
              <w:spacing w:line="360" w:lineRule="auto"/>
              <w:jc w:val="left"/>
              <w:rPr>
                <w:rFonts w:hint="eastAsia" w:ascii="宋体" w:hAnsi="宋体" w:eastAsia="宋体" w:cs="宋体"/>
                <w:color w:val="000000"/>
                <w:kern w:val="0"/>
                <w:sz w:val="24"/>
                <w:lang w:val="en-GB"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line="360" w:lineRule="auto"/>
              <w:jc w:val="left"/>
              <w:rPr>
                <w:rFonts w:hint="eastAsia" w:ascii="宋体" w:hAnsi="宋体" w:eastAsia="宋体" w:cs="宋体"/>
                <w:color w:val="000000"/>
                <w:kern w:val="0"/>
                <w:sz w:val="24"/>
                <w:lang w:val="en-GB" w:bidi="ar"/>
              </w:rPr>
            </w:pPr>
            <w:r>
              <w:rPr>
                <w:rFonts w:hint="eastAsia" w:ascii="宋体" w:hAnsi="宋体" w:eastAsia="宋体" w:cs="宋体"/>
                <w:color w:val="000000"/>
                <w:kern w:val="0"/>
                <w:sz w:val="24"/>
                <w:lang w:val="en-GB" w:bidi="ar"/>
              </w:rPr>
              <w:t>接话满意度评价</w:t>
            </w:r>
          </w:p>
        </w:tc>
        <w:tc>
          <w:tcPr>
            <w:tcW w:w="2841" w:type="dxa"/>
          </w:tcPr>
          <w:p>
            <w:pPr>
              <w:widowControl/>
              <w:spacing w:line="360" w:lineRule="auto"/>
              <w:jc w:val="center"/>
              <w:rPr>
                <w:rFonts w:hint="eastAsia" w:ascii="宋体" w:hAnsi="宋体" w:eastAsia="宋体" w:cs="宋体"/>
                <w:color w:val="000000"/>
                <w:kern w:val="0"/>
                <w:sz w:val="24"/>
                <w:lang w:val="en-GB" w:bidi="ar"/>
              </w:rPr>
            </w:pPr>
            <w:r>
              <w:rPr>
                <w:rFonts w:hint="eastAsia" w:ascii="宋体" w:hAnsi="宋体" w:eastAsia="宋体" w:cs="宋体"/>
                <w:color w:val="000000"/>
                <w:kern w:val="0"/>
                <w:sz w:val="24"/>
                <w:lang w:val="en-GB" w:bidi="ar"/>
              </w:rPr>
              <w:t>92%</w:t>
            </w:r>
          </w:p>
        </w:tc>
        <w:tc>
          <w:tcPr>
            <w:tcW w:w="2841" w:type="dxa"/>
            <w:vMerge w:val="continue"/>
          </w:tcPr>
          <w:p>
            <w:pPr>
              <w:widowControl/>
              <w:spacing w:line="360" w:lineRule="auto"/>
              <w:jc w:val="left"/>
              <w:rPr>
                <w:rFonts w:hint="eastAsia" w:ascii="宋体" w:hAnsi="宋体" w:eastAsia="宋体" w:cs="宋体"/>
                <w:color w:val="000000"/>
                <w:kern w:val="0"/>
                <w:sz w:val="24"/>
                <w:lang w:val="en-GB"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line="360" w:lineRule="auto"/>
              <w:jc w:val="left"/>
              <w:rPr>
                <w:rFonts w:hint="eastAsia" w:ascii="宋体" w:hAnsi="宋体" w:eastAsia="宋体" w:cs="宋体"/>
                <w:color w:val="000000"/>
                <w:kern w:val="0"/>
                <w:sz w:val="24"/>
                <w:lang w:val="en-GB" w:bidi="ar"/>
              </w:rPr>
            </w:pPr>
            <w:r>
              <w:rPr>
                <w:rFonts w:hint="eastAsia" w:ascii="宋体" w:hAnsi="宋体" w:eastAsia="宋体" w:cs="宋体"/>
                <w:color w:val="000000"/>
                <w:kern w:val="0"/>
                <w:sz w:val="24"/>
                <w:lang w:val="en-GB" w:bidi="ar"/>
              </w:rPr>
              <w:t>工单派发及时性</w:t>
            </w:r>
          </w:p>
        </w:tc>
        <w:tc>
          <w:tcPr>
            <w:tcW w:w="2841" w:type="dxa"/>
          </w:tcPr>
          <w:p>
            <w:pPr>
              <w:widowControl/>
              <w:spacing w:line="360" w:lineRule="auto"/>
              <w:jc w:val="center"/>
              <w:rPr>
                <w:rFonts w:hint="eastAsia" w:ascii="宋体" w:hAnsi="宋体" w:eastAsia="宋体" w:cs="宋体"/>
                <w:color w:val="000000"/>
                <w:kern w:val="0"/>
                <w:sz w:val="24"/>
                <w:lang w:val="en-GB" w:bidi="ar"/>
              </w:rPr>
            </w:pPr>
            <w:r>
              <w:rPr>
                <w:rFonts w:hint="eastAsia" w:ascii="宋体" w:hAnsi="宋体" w:eastAsia="宋体" w:cs="宋体"/>
                <w:color w:val="000000"/>
                <w:kern w:val="0"/>
                <w:sz w:val="24"/>
                <w:lang w:val="en-GB" w:bidi="ar"/>
              </w:rPr>
              <w:t>95%</w:t>
            </w:r>
          </w:p>
        </w:tc>
        <w:tc>
          <w:tcPr>
            <w:tcW w:w="2841" w:type="dxa"/>
            <w:vMerge w:val="continue"/>
          </w:tcPr>
          <w:p>
            <w:pPr>
              <w:widowControl/>
              <w:spacing w:line="360" w:lineRule="auto"/>
              <w:jc w:val="left"/>
              <w:rPr>
                <w:rFonts w:hint="eastAsia" w:ascii="宋体" w:hAnsi="宋体" w:eastAsia="宋体" w:cs="宋体"/>
                <w:color w:val="000000"/>
                <w:kern w:val="0"/>
                <w:sz w:val="24"/>
                <w:lang w:val="en-GB" w:bidi="ar"/>
              </w:rPr>
            </w:pPr>
          </w:p>
        </w:tc>
      </w:tr>
    </w:tbl>
    <w:p>
      <w:pPr>
        <w:widowControl/>
        <w:spacing w:line="360" w:lineRule="auto"/>
        <w:jc w:val="left"/>
        <w:rPr>
          <w:rFonts w:ascii="仿宋_GB2312" w:hAnsi="仿宋_GB2312" w:eastAsia="仿宋_GB2312" w:cs="仿宋_GB2312"/>
          <w:color w:val="000000"/>
          <w:kern w:val="0"/>
          <w:sz w:val="24"/>
          <w:lang w:val="en-GB" w:bidi="ar"/>
        </w:rPr>
      </w:pPr>
    </w:p>
    <w:bookmarkEnd w:id="196"/>
    <w:bookmarkEnd w:id="313"/>
    <w:bookmarkEnd w:id="314"/>
    <w:bookmarkEnd w:id="318"/>
    <w:bookmarkEnd w:id="319"/>
    <w:bookmarkEnd w:id="320"/>
    <w:p>
      <w:pPr>
        <w:rPr>
          <w:rFonts w:hint="eastAsia" w:ascii="宋体" w:hAnsi="宋体" w:eastAsia="宋体" w:cs="宋体"/>
          <w:color w:val="auto"/>
          <w:sz w:val="36"/>
          <w:szCs w:val="36"/>
          <w:highlight w:val="none"/>
        </w:rPr>
      </w:pPr>
      <w:bookmarkStart w:id="340" w:name="_Toc342252483"/>
      <w:bookmarkStart w:id="341" w:name="_Toc287607865"/>
      <w:bookmarkStart w:id="342" w:name="_Toc16848"/>
      <w:bookmarkStart w:id="343" w:name="_Toc25693_WPSOffice_Level1"/>
      <w:bookmarkStart w:id="344" w:name="_Toc516620665"/>
      <w:bookmarkStart w:id="345" w:name="_Toc342252667"/>
      <w:r>
        <w:rPr>
          <w:rFonts w:hint="eastAsia" w:ascii="宋体" w:hAnsi="宋体" w:eastAsia="宋体" w:cs="宋体"/>
          <w:color w:val="auto"/>
          <w:sz w:val="36"/>
          <w:szCs w:val="36"/>
          <w:highlight w:val="none"/>
        </w:rPr>
        <w:br w:type="page"/>
      </w:r>
    </w:p>
    <w:p>
      <w:pPr>
        <w:keepNext/>
        <w:keepLines/>
        <w:snapToGrid w:val="0"/>
        <w:spacing w:line="600" w:lineRule="exact"/>
        <w:ind w:firstLine="480" w:firstLineChars="200"/>
        <w:outlineLvl w:val="3"/>
        <w:rPr>
          <w:rFonts w:ascii="宋体" w:hAnsi="宋体" w:cs="宋体"/>
          <w:kern w:val="0"/>
          <w:szCs w:val="21"/>
        </w:rPr>
      </w:pPr>
      <w:r>
        <w:rPr>
          <w:rFonts w:hint="eastAsia" w:ascii="宋体" w:hAnsi="宋体" w:cs="宋体"/>
          <w:kern w:val="0"/>
          <w:szCs w:val="21"/>
        </w:rPr>
        <w:t>履约担保</w:t>
      </w:r>
    </w:p>
    <w:p>
      <w:pPr>
        <w:pStyle w:val="2"/>
        <w:spacing w:line="360" w:lineRule="auto"/>
        <w:rPr>
          <w:rFonts w:ascii="宋体" w:hAnsi="宋体" w:cs="宋体"/>
          <w:kern w:val="0"/>
          <w:szCs w:val="21"/>
        </w:rPr>
      </w:pP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（受益人名称）：</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鉴于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以下简称“受益人”）与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（以下简称“申请人”）就工程</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Theme="minorEastAsia" w:hAnsiTheme="minorEastAsia" w:eastAsiaTheme="minorEastAsia" w:cstheme="minorEastAsia"/>
          <w:color w:val="auto"/>
          <w:kern w:val="2"/>
          <w:sz w:val="21"/>
          <w:szCs w:val="21"/>
          <w:u w:val="single"/>
        </w:rPr>
        <w:t>《        》</w:t>
      </w:r>
      <w:r>
        <w:rPr>
          <w:rFonts w:hint="eastAsia" w:asciiTheme="minorEastAsia" w:hAnsiTheme="minorEastAsia" w:eastAsiaTheme="minorEastAsia" w:cstheme="minorEastAsia"/>
          <w:color w:val="auto"/>
          <w:kern w:val="2"/>
          <w:sz w:val="21"/>
          <w:szCs w:val="21"/>
        </w:rPr>
        <w:t>（以下简称“基础合同”）约定的义务，向贵方提供不可撤销、不可转让的见索即付保函（以下简称“本保函”）。</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一、本保函担保范围：承包人未按照基础合同的约定履行义务，应当向贵方承担的违约责任和赔偿因此造成的损失、利息、律师费、诉讼费用等实现债权的费用。</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二、本保函担保金额最高不超过人民币（大写）</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元（¥</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spacing w:val="6"/>
          <w:kern w:val="2"/>
          <w:sz w:val="21"/>
          <w:szCs w:val="21"/>
        </w:rPr>
      </w:pPr>
      <w:r>
        <w:rPr>
          <w:rFonts w:hint="eastAsia" w:asciiTheme="minorEastAsia" w:hAnsiTheme="minorEastAsia" w:eastAsiaTheme="minorEastAsia" w:cstheme="minorEastAsia"/>
          <w:color w:val="auto"/>
          <w:kern w:val="2"/>
          <w:sz w:val="21"/>
          <w:szCs w:val="21"/>
        </w:rPr>
        <w:t>三、</w:t>
      </w:r>
      <w:r>
        <w:rPr>
          <w:rFonts w:hint="eastAsia" w:asciiTheme="minorEastAsia" w:hAnsiTheme="minorEastAsia" w:eastAsiaTheme="minorEastAsia" w:cstheme="minorEastAsia"/>
          <w:color w:val="auto"/>
          <w:spacing w:val="6"/>
          <w:kern w:val="2"/>
          <w:sz w:val="21"/>
          <w:szCs w:val="21"/>
        </w:rPr>
        <w:t>本保函有效期自</w:t>
      </w:r>
      <w:r>
        <w:rPr>
          <w:rFonts w:hint="eastAsia" w:asciiTheme="minorEastAsia" w:hAnsiTheme="minorEastAsia" w:eastAsiaTheme="minorEastAsia" w:cstheme="minorEastAsia"/>
          <w:color w:val="auto"/>
          <w:spacing w:val="6"/>
          <w:kern w:val="2"/>
          <w:sz w:val="21"/>
          <w:szCs w:val="21"/>
          <w:lang w:eastAsia="zh-CN"/>
        </w:rPr>
        <w:t>受益人与申请人签订的合同生效之日</w:t>
      </w:r>
      <w:r>
        <w:rPr>
          <w:rFonts w:hint="eastAsia" w:asciiTheme="minorEastAsia" w:hAnsiTheme="minorEastAsia" w:eastAsiaTheme="minorEastAsia" w:cstheme="minorEastAsia"/>
          <w:color w:val="auto"/>
          <w:spacing w:val="0"/>
          <w:kern w:val="2"/>
          <w:sz w:val="21"/>
          <w:szCs w:val="21"/>
          <w:lang w:eastAsia="zh-CN"/>
        </w:rPr>
        <w:t>起至合同约定的工期截止日后</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rPr>
        <w:t>天</w:t>
      </w:r>
      <w:r>
        <w:rPr>
          <w:rFonts w:hint="eastAsia" w:asciiTheme="minorEastAsia" w:hAnsiTheme="minorEastAsia" w:eastAsiaTheme="minorEastAsia" w:cstheme="minorEastAsia"/>
          <w:color w:val="auto"/>
          <w:spacing w:val="0"/>
          <w:kern w:val="2"/>
          <w:sz w:val="21"/>
          <w:szCs w:val="21"/>
          <w:lang w:eastAsia="zh-CN"/>
        </w:rPr>
        <w:t>，最迟不超过</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年</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月</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日。</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四、我方承诺，在收到受益人发来的书面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w:t>
      </w:r>
      <w:r>
        <w:rPr>
          <w:rFonts w:hint="eastAsia" w:asciiTheme="minorEastAsia" w:hAnsiTheme="minorEastAsia" w:eastAsiaTheme="minorEastAsia" w:cstheme="minorEastAsia"/>
          <w:color w:val="auto"/>
          <w:kern w:val="2"/>
          <w:sz w:val="21"/>
          <w:szCs w:val="21"/>
          <w:lang w:eastAsia="zh-CN"/>
        </w:rPr>
        <w:t>和本保函原件</w:t>
      </w:r>
      <w:r>
        <w:rPr>
          <w:rFonts w:hint="eastAsia" w:asciiTheme="minorEastAsia" w:hAnsiTheme="minorEastAsia" w:eastAsiaTheme="minorEastAsia" w:cstheme="minorEastAsia"/>
          <w:color w:val="auto"/>
          <w:kern w:val="2"/>
          <w:sz w:val="21"/>
          <w:szCs w:val="21"/>
        </w:rPr>
        <w:t>后的</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个工作日内无条件支付至受益人指定账户，前述书面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通知即为付款要求之单据，且应满足以下要求：</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通知到达的日期在本保函的有效期内；</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（2）载明要求支付的金额；</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（3）载明申请人违反合同义务的条款和内容；</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（4）声明不存在合同文件约定或我国法律规定免除申请人或开立人支付责任的情形；</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（5）</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通知应在本保函有效期内到达的地址是：</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受益人发出的书面索赔通知应由其为鉴明受益人法定代表人（负责人）或授权代理人签名或盖个人名章并加盖公章。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五、本保函项下的权利不得转让，不得设定担保。贵方未经我方书面同意转让本保函或其项下任何权利，对我方不发生法律效力。</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六、与本保函有关的基础合同不成立、不生效、无效、被撤销、被解除，不影响本保函的独立有效。</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七、贵方应在本保函到期后的</w:t>
      </w:r>
      <w:r>
        <w:rPr>
          <w:rFonts w:hint="eastAsia" w:asciiTheme="minorEastAsia" w:hAnsiTheme="minorEastAsia" w:eastAsiaTheme="minorEastAsia" w:cstheme="minorEastAsia"/>
          <w:color w:val="auto"/>
          <w:kern w:val="2"/>
          <w:sz w:val="21"/>
          <w:szCs w:val="21"/>
          <w:lang w:val="en-US" w:eastAsia="zh-CN"/>
        </w:rPr>
        <w:t>七个工作</w:t>
      </w:r>
      <w:r>
        <w:rPr>
          <w:rFonts w:hint="eastAsia" w:asciiTheme="minorEastAsia" w:hAnsiTheme="minorEastAsia" w:eastAsiaTheme="minorEastAsia" w:cstheme="minorEastAsia"/>
          <w:color w:val="auto"/>
          <w:kern w:val="2"/>
          <w:sz w:val="21"/>
          <w:szCs w:val="21"/>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九、本保函自我方法定代表人或授权代表</w:t>
      </w:r>
      <w:r>
        <w:rPr>
          <w:rFonts w:hint="eastAsia" w:asciiTheme="minorEastAsia" w:hAnsiTheme="minorEastAsia" w:eastAsiaTheme="minorEastAsia" w:cstheme="minorEastAsia"/>
          <w:color w:val="auto"/>
          <w:kern w:val="2"/>
          <w:sz w:val="21"/>
          <w:szCs w:val="21"/>
          <w:lang w:eastAsia="zh-CN"/>
        </w:rPr>
        <w:t>签名</w:t>
      </w:r>
      <w:r>
        <w:rPr>
          <w:rFonts w:hint="eastAsia" w:asciiTheme="minorEastAsia" w:hAnsiTheme="minorEastAsia" w:eastAsiaTheme="minorEastAsia" w:cstheme="minorEastAsia"/>
          <w:color w:val="auto"/>
          <w:kern w:val="2"/>
          <w:sz w:val="21"/>
          <w:szCs w:val="21"/>
        </w:rPr>
        <w:t>或盖个人名章并加盖公章或合同专用章之日起生效。</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none"/>
        </w:rPr>
      </w:pPr>
      <w:r>
        <w:rPr>
          <w:rFonts w:hint="eastAsia" w:asciiTheme="minorEastAsia" w:hAnsiTheme="minorEastAsia" w:eastAsiaTheme="minorEastAsia" w:cstheme="minorEastAsia"/>
          <w:color w:val="auto"/>
          <w:kern w:val="2"/>
          <w:sz w:val="21"/>
          <w:szCs w:val="21"/>
          <w:lang w:val="en-US" w:eastAsia="zh-CN"/>
        </w:rPr>
        <w:t>十、</w:t>
      </w:r>
      <w:r>
        <w:rPr>
          <w:rFonts w:hint="eastAsia" w:asciiTheme="minorEastAsia" w:hAnsiTheme="minorEastAsia" w:eastAsiaTheme="minorEastAsia" w:cstheme="minorEastAsia"/>
          <w:color w:val="auto"/>
          <w:kern w:val="2"/>
          <w:sz w:val="21"/>
          <w:szCs w:val="21"/>
          <w:lang w:eastAsia="zh-CN"/>
        </w:rPr>
        <w:t>本保函在重庆市辖区范围内的核验地点：</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；核验方式：</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none"/>
          <w:lang w:val="en-US" w:eastAsia="zh-CN"/>
        </w:rPr>
        <w:t>。</w:t>
      </w:r>
    </w:p>
    <w:p>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Theme="minorEastAsia" w:hAnsiTheme="minorEastAsia" w:eastAsiaTheme="minorEastAsia" w:cstheme="minorEastAsia"/>
          <w:kern w:val="2"/>
          <w:sz w:val="21"/>
          <w:szCs w:val="21"/>
          <w:lang w:val="en-US" w:eastAsia="zh-CN" w:bidi="ar-SA"/>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开 立 人：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法定代表人（或授权代表）：</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eastAsia="zh-CN"/>
        </w:rPr>
        <w:t>签名或盖个人名章</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single"/>
          <w:lang w:val="en-US" w:eastAsia="zh-CN"/>
        </w:rPr>
      </w:pPr>
      <w:r>
        <w:rPr>
          <w:rFonts w:hint="eastAsia" w:asciiTheme="minorEastAsia" w:hAnsiTheme="minorEastAsia" w:eastAsiaTheme="minorEastAsia" w:cstheme="minorEastAsia"/>
          <w:color w:val="auto"/>
          <w:kern w:val="2"/>
          <w:sz w:val="21"/>
          <w:szCs w:val="21"/>
        </w:rPr>
        <w:t xml:space="preserve">地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邮政编码：</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电    话：</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spacing w:beforeLines="0" w:line="360" w:lineRule="auto"/>
        <w:ind w:firstLine="420" w:firstLineChars="200"/>
        <w:jc w:val="left"/>
        <w:outlineLvl w:val="9"/>
        <w:rPr>
          <w:rFonts w:hint="eastAsia" w:asciiTheme="minorEastAsia" w:hAnsiTheme="minorEastAsia" w:eastAsiaTheme="minorEastAsia" w:cstheme="minorEastAsia"/>
          <w:color w:val="auto"/>
          <w:kern w:val="2"/>
          <w:sz w:val="21"/>
          <w:szCs w:val="21"/>
          <w:u w:val="single"/>
        </w:rPr>
      </w:pPr>
      <w:r>
        <w:rPr>
          <w:rFonts w:hint="eastAsia" w:asciiTheme="minorEastAsia" w:hAnsiTheme="minorEastAsia" w:eastAsiaTheme="minorEastAsia" w:cstheme="minorEastAsia"/>
          <w:color w:val="auto"/>
          <w:kern w:val="2"/>
          <w:sz w:val="21"/>
          <w:szCs w:val="21"/>
        </w:rPr>
        <w:t>传    真：</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pStyle w:val="2"/>
        <w:ind w:firstLine="420" w:firstLineChars="200"/>
        <w:rPr>
          <w:rFonts w:hint="eastAsia" w:ascii="宋体" w:hAnsi="宋体" w:eastAsia="宋体" w:cs="宋体"/>
          <w:color w:val="auto"/>
          <w:sz w:val="21"/>
          <w:szCs w:val="21"/>
          <w:lang w:eastAsia="zh-CN"/>
        </w:rPr>
      </w:pPr>
      <w:r>
        <w:rPr>
          <w:rFonts w:hint="eastAsia" w:asciiTheme="minorEastAsia" w:hAnsiTheme="minorEastAsia" w:eastAsiaTheme="minorEastAsia" w:cstheme="minorEastAsia"/>
          <w:color w:val="auto"/>
          <w:kern w:val="2"/>
          <w:sz w:val="21"/>
          <w:szCs w:val="21"/>
        </w:rPr>
        <w:t xml:space="preserve">开立时间：    年    月    </w:t>
      </w:r>
      <w:r>
        <w:rPr>
          <w:rFonts w:hint="eastAsia" w:ascii="宋体" w:hAnsi="宋体" w:eastAsia="宋体" w:cs="宋体"/>
          <w:color w:val="auto"/>
          <w:sz w:val="21"/>
          <w:szCs w:val="21"/>
          <w:lang w:eastAsia="zh-CN"/>
        </w:rPr>
        <w:t>日</w:t>
      </w:r>
    </w:p>
    <w:p>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pPr>
        <w:pStyle w:val="3"/>
        <w:jc w:val="center"/>
        <w:rPr>
          <w:rFonts w:ascii="宋体" w:hAnsi="宋体" w:eastAsia="宋体" w:cs="宋体"/>
          <w:color w:val="auto"/>
          <w:highlight w:val="none"/>
        </w:rPr>
      </w:pPr>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rPr>
        <w:t>章 投标文件格式</w:t>
      </w:r>
      <w:bookmarkEnd w:id="340"/>
      <w:bookmarkEnd w:id="341"/>
      <w:bookmarkEnd w:id="342"/>
      <w:bookmarkEnd w:id="343"/>
      <w:bookmarkEnd w:id="344"/>
      <w:bookmarkEnd w:id="345"/>
      <w:bookmarkStart w:id="346" w:name="_Toc224103493"/>
    </w:p>
    <w:p>
      <w:pPr>
        <w:widowControl/>
        <w:jc w:val="center"/>
        <w:rPr>
          <w:rFonts w:ascii="宋体" w:hAnsi="宋体" w:eastAsia="宋体" w:cs="宋体"/>
          <w:b/>
          <w:snapToGrid w:val="0"/>
          <w:color w:val="auto"/>
          <w:kern w:val="0"/>
          <w:highlight w:val="none"/>
        </w:rPr>
      </w:pPr>
      <w:bookmarkStart w:id="347" w:name="_Toc3001_WPSOffice_Level1"/>
      <w:bookmarkStart w:id="348" w:name="_Toc8570_WPSOffice_Level2"/>
      <w:r>
        <w:rPr>
          <w:rFonts w:hint="eastAsia" w:ascii="宋体" w:hAnsi="宋体" w:eastAsia="宋体" w:cs="宋体"/>
          <w:b/>
          <w:snapToGrid w:val="0"/>
          <w:color w:val="auto"/>
          <w:kern w:val="0"/>
          <w:sz w:val="32"/>
          <w:szCs w:val="32"/>
          <w:highlight w:val="none"/>
        </w:rPr>
        <w:t>目 录</w:t>
      </w:r>
      <w:bookmarkEnd w:id="346"/>
      <w:bookmarkEnd w:id="347"/>
      <w:bookmarkEnd w:id="348"/>
    </w:p>
    <w:p>
      <w:pPr>
        <w:autoSpaceDE w:val="0"/>
        <w:autoSpaceDN w:val="0"/>
        <w:adjustRightInd w:val="0"/>
        <w:snapToGrid w:val="0"/>
        <w:rPr>
          <w:rFonts w:ascii="宋体" w:hAnsi="宋体" w:eastAsia="宋体" w:cs="宋体"/>
          <w:b/>
          <w:snapToGrid w:val="0"/>
          <w:color w:val="auto"/>
          <w:kern w:val="0"/>
          <w:sz w:val="21"/>
          <w:szCs w:val="21"/>
          <w:highlight w:val="none"/>
        </w:rPr>
      </w:pPr>
      <w:bookmarkStart w:id="349" w:name="_Toc17222_WPSOffice_Level1"/>
      <w:bookmarkStart w:id="350" w:name="_Toc9068_WPSOffice_Level2"/>
      <w:r>
        <w:rPr>
          <w:rFonts w:hint="eastAsia" w:ascii="宋体" w:hAnsi="宋体" w:eastAsia="宋体" w:cs="宋体"/>
          <w:b/>
          <w:snapToGrid w:val="0"/>
          <w:color w:val="auto"/>
          <w:kern w:val="0"/>
          <w:sz w:val="21"/>
          <w:szCs w:val="21"/>
          <w:highlight w:val="none"/>
        </w:rPr>
        <w:t>一、投标函部分</w:t>
      </w:r>
      <w:bookmarkEnd w:id="349"/>
      <w:bookmarkEnd w:id="350"/>
    </w:p>
    <w:p>
      <w:pPr>
        <w:adjustRightInd w:val="0"/>
        <w:snapToGrid w:val="0"/>
        <w:rPr>
          <w:rFonts w:ascii="宋体" w:hAnsi="宋体" w:eastAsia="宋体" w:cs="宋体"/>
          <w:b/>
          <w:snapToGrid w:val="0"/>
          <w:color w:val="auto"/>
          <w:kern w:val="0"/>
          <w:sz w:val="21"/>
          <w:szCs w:val="21"/>
          <w:highlight w:val="none"/>
        </w:rPr>
      </w:pPr>
      <w:bookmarkStart w:id="351" w:name="_Toc10274_WPSOffice_Level1"/>
      <w:bookmarkStart w:id="352" w:name="_Toc25303_WPSOffice_Level2"/>
      <w:r>
        <w:rPr>
          <w:rFonts w:hint="eastAsia" w:ascii="宋体" w:hAnsi="宋体" w:eastAsia="宋体" w:cs="宋体"/>
          <w:b/>
          <w:snapToGrid w:val="0"/>
          <w:color w:val="auto"/>
          <w:kern w:val="0"/>
          <w:sz w:val="21"/>
          <w:szCs w:val="21"/>
          <w:highlight w:val="none"/>
        </w:rPr>
        <w:t>二、资格审查资料</w:t>
      </w:r>
      <w:bookmarkEnd w:id="351"/>
      <w:bookmarkEnd w:id="352"/>
    </w:p>
    <w:p>
      <w:pPr>
        <w:autoSpaceDE w:val="0"/>
        <w:autoSpaceDN w:val="0"/>
        <w:adjustRightInd w:val="0"/>
        <w:snapToGrid w:val="0"/>
        <w:ind w:right="-20"/>
        <w:rPr>
          <w:rFonts w:hint="eastAsia" w:ascii="宋体" w:hAnsi="宋体" w:eastAsia="宋体" w:cs="宋体"/>
          <w:b/>
          <w:snapToGrid w:val="0"/>
          <w:color w:val="auto"/>
          <w:kern w:val="0"/>
          <w:sz w:val="21"/>
          <w:szCs w:val="21"/>
          <w:highlight w:val="none"/>
        </w:rPr>
      </w:pPr>
      <w:bookmarkStart w:id="353" w:name="_Toc4265_WPSOffice_Level2"/>
      <w:bookmarkStart w:id="354" w:name="_Toc26733_WPSOffice_Level1"/>
      <w:r>
        <w:rPr>
          <w:rFonts w:hint="eastAsia" w:ascii="宋体" w:hAnsi="宋体" w:eastAsia="宋体" w:cs="宋体"/>
          <w:b/>
          <w:snapToGrid w:val="0"/>
          <w:color w:val="auto"/>
          <w:kern w:val="0"/>
          <w:sz w:val="21"/>
          <w:szCs w:val="21"/>
          <w:highlight w:val="none"/>
        </w:rPr>
        <w:t>三、技术部分</w:t>
      </w:r>
      <w:bookmarkEnd w:id="353"/>
      <w:bookmarkEnd w:id="354"/>
    </w:p>
    <w:p>
      <w:pPr>
        <w:pStyle w:val="44"/>
        <w:ind w:left="0" w:leftChars="0" w:firstLine="0" w:firstLineChars="0"/>
        <w:rPr>
          <w:rFonts w:hint="default" w:eastAsia="宋体"/>
          <w:color w:val="auto"/>
          <w:highlight w:val="none"/>
          <w:lang w:val="en-US" w:eastAsia="zh-CN"/>
        </w:rPr>
      </w:pPr>
      <w:r>
        <w:rPr>
          <w:rFonts w:hint="eastAsia" w:ascii="宋体" w:hAnsi="宋体" w:cs="宋体"/>
          <w:b/>
          <w:snapToGrid w:val="0"/>
          <w:color w:val="auto"/>
          <w:kern w:val="0"/>
          <w:sz w:val="21"/>
          <w:szCs w:val="21"/>
          <w:highlight w:val="none"/>
          <w:lang w:val="en-US" w:eastAsia="zh-CN"/>
        </w:rPr>
        <w:t>四、商务部分</w:t>
      </w:r>
    </w:p>
    <w:p>
      <w:pPr>
        <w:tabs>
          <w:tab w:val="left" w:pos="2580"/>
          <w:tab w:val="left" w:pos="5940"/>
        </w:tabs>
        <w:autoSpaceDE w:val="0"/>
        <w:autoSpaceDN w:val="0"/>
        <w:adjustRightInd w:val="0"/>
        <w:snapToGrid w:val="0"/>
        <w:ind w:firstLine="2940"/>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br w:type="page"/>
      </w:r>
    </w:p>
    <w:p>
      <w:pPr>
        <w:pStyle w:val="4"/>
        <w:jc w:val="center"/>
        <w:rPr>
          <w:rFonts w:ascii="宋体" w:hAnsi="宋体" w:eastAsia="宋体" w:cs="宋体"/>
          <w:color w:val="auto"/>
          <w:highlight w:val="none"/>
        </w:rPr>
      </w:pPr>
      <w:bookmarkStart w:id="355" w:name="_Toc342906448"/>
      <w:bookmarkStart w:id="356" w:name="_Toc7656_WPSOffice_Level2"/>
      <w:bookmarkStart w:id="357" w:name="_Toc342252668"/>
      <w:bookmarkStart w:id="358" w:name="_Toc516620666"/>
      <w:bookmarkStart w:id="359" w:name="_Toc277082642"/>
      <w:bookmarkStart w:id="360" w:name="_Toc224103494"/>
      <w:bookmarkStart w:id="361" w:name="_Toc451732666"/>
      <w:bookmarkStart w:id="362" w:name="_Toc342252484"/>
      <w:bookmarkStart w:id="363" w:name="_Toc287607866"/>
      <w:bookmarkStart w:id="364" w:name="_Toc3788"/>
      <w:r>
        <w:rPr>
          <w:rFonts w:hint="eastAsia" w:ascii="宋体" w:hAnsi="宋体" w:eastAsia="宋体" w:cs="宋体"/>
          <w:color w:val="auto"/>
          <w:highlight w:val="none"/>
        </w:rPr>
        <w:t>一、投标函部分</w:t>
      </w:r>
      <w:bookmarkEnd w:id="355"/>
      <w:bookmarkEnd w:id="356"/>
      <w:bookmarkEnd w:id="357"/>
      <w:bookmarkEnd w:id="358"/>
      <w:bookmarkEnd w:id="359"/>
      <w:bookmarkEnd w:id="360"/>
      <w:bookmarkEnd w:id="361"/>
      <w:bookmarkEnd w:id="362"/>
      <w:bookmarkEnd w:id="363"/>
      <w:bookmarkEnd w:id="364"/>
    </w:p>
    <w:p>
      <w:pPr>
        <w:widowControl/>
        <w:spacing w:line="240" w:lineRule="auto"/>
        <w:rPr>
          <w:rFonts w:ascii="宋体" w:hAnsi="宋体" w:eastAsia="宋体" w:cs="宋体"/>
          <w:color w:val="auto"/>
          <w:highlight w:val="none"/>
        </w:rPr>
      </w:pPr>
      <w:r>
        <w:rPr>
          <w:rFonts w:hint="eastAsia" w:ascii="宋体" w:hAnsi="宋体" w:eastAsia="宋体" w:cs="宋体"/>
          <w:color w:val="auto"/>
          <w:highlight w:val="none"/>
        </w:rPr>
        <w:br w:type="page"/>
      </w:r>
    </w:p>
    <w:p>
      <w:pPr>
        <w:tabs>
          <w:tab w:val="left" w:pos="2580"/>
          <w:tab w:val="left" w:pos="5940"/>
        </w:tabs>
        <w:autoSpaceDE w:val="0"/>
        <w:autoSpaceDN w:val="0"/>
        <w:adjustRightInd w:val="0"/>
        <w:snapToGrid w:val="0"/>
        <w:rPr>
          <w:rFonts w:ascii="宋体" w:hAnsi="宋体" w:eastAsia="宋体" w:cs="宋体"/>
          <w:snapToGrid w:val="0"/>
          <w:color w:val="auto"/>
          <w:kern w:val="0"/>
          <w:sz w:val="28"/>
          <w:szCs w:val="28"/>
          <w:highlight w:val="none"/>
          <w:u w:val="single"/>
        </w:rPr>
      </w:pPr>
    </w:p>
    <w:p>
      <w:pPr>
        <w:tabs>
          <w:tab w:val="left" w:pos="5825"/>
          <w:tab w:val="left" w:pos="5940"/>
        </w:tabs>
        <w:autoSpaceDE w:val="0"/>
        <w:autoSpaceDN w:val="0"/>
        <w:adjustRightInd w:val="0"/>
        <w:snapToGrid w:val="0"/>
        <w:rPr>
          <w:rFonts w:ascii="宋体" w:hAnsi="宋体" w:eastAsia="宋体" w:cs="宋体"/>
          <w:b/>
          <w:snapToGrid w:val="0"/>
          <w:color w:val="auto"/>
          <w:kern w:val="0"/>
          <w:sz w:val="28"/>
          <w:szCs w:val="28"/>
          <w:highlight w:val="none"/>
          <w:u w:val="single"/>
        </w:rPr>
      </w:pPr>
      <w:r>
        <w:rPr>
          <w:rFonts w:hint="eastAsia" w:ascii="宋体" w:hAnsi="宋体" w:eastAsia="宋体" w:cs="宋体"/>
          <w:b/>
          <w:snapToGrid w:val="0"/>
          <w:color w:val="auto"/>
          <w:kern w:val="0"/>
          <w:sz w:val="28"/>
          <w:szCs w:val="28"/>
          <w:highlight w:val="none"/>
          <w:u w:val="single"/>
        </w:rPr>
        <w:t xml:space="preserve">                                                   </w:t>
      </w:r>
      <w:bookmarkStart w:id="365" w:name="_Toc12173_WPSOffice_Level3"/>
      <w:bookmarkStart w:id="366" w:name="_Toc16379_WPSOffice_Level2"/>
      <w:r>
        <w:rPr>
          <w:rFonts w:hint="eastAsia" w:ascii="宋体" w:hAnsi="宋体" w:eastAsia="宋体" w:cs="宋体"/>
          <w:b/>
          <w:snapToGrid w:val="0"/>
          <w:color w:val="auto"/>
          <w:kern w:val="0"/>
          <w:sz w:val="28"/>
          <w:szCs w:val="28"/>
          <w:highlight w:val="none"/>
          <w:u w:val="single"/>
        </w:rPr>
        <w:t>（项目名称）</w:t>
      </w:r>
      <w:bookmarkEnd w:id="365"/>
      <w:bookmarkEnd w:id="366"/>
    </w:p>
    <w:p>
      <w:pPr>
        <w:tabs>
          <w:tab w:val="left" w:pos="3600"/>
          <w:tab w:val="left" w:pos="4480"/>
          <w:tab w:val="left" w:pos="5360"/>
        </w:tabs>
        <w:autoSpaceDE w:val="0"/>
        <w:autoSpaceDN w:val="0"/>
        <w:adjustRightInd w:val="0"/>
        <w:snapToGrid w:val="0"/>
        <w:rPr>
          <w:rFonts w:ascii="宋体" w:hAnsi="宋体" w:eastAsia="宋体" w:cs="宋体"/>
          <w:snapToGrid w:val="0"/>
          <w:color w:val="auto"/>
          <w:kern w:val="0"/>
          <w:sz w:val="44"/>
          <w:szCs w:val="44"/>
          <w:highlight w:val="none"/>
        </w:rPr>
      </w:pPr>
    </w:p>
    <w:p>
      <w:pPr>
        <w:tabs>
          <w:tab w:val="left" w:pos="3600"/>
          <w:tab w:val="left" w:pos="4480"/>
          <w:tab w:val="left" w:pos="5360"/>
        </w:tabs>
        <w:autoSpaceDE w:val="0"/>
        <w:autoSpaceDN w:val="0"/>
        <w:adjustRightInd w:val="0"/>
        <w:snapToGrid w:val="0"/>
        <w:rPr>
          <w:rFonts w:ascii="宋体" w:hAnsi="宋体" w:eastAsia="宋体" w:cs="宋体"/>
          <w:snapToGrid w:val="0"/>
          <w:color w:val="auto"/>
          <w:kern w:val="0"/>
          <w:sz w:val="44"/>
          <w:szCs w:val="44"/>
          <w:highlight w:val="none"/>
        </w:rPr>
      </w:pPr>
    </w:p>
    <w:p>
      <w:pPr>
        <w:tabs>
          <w:tab w:val="left" w:pos="3600"/>
          <w:tab w:val="left" w:pos="4480"/>
          <w:tab w:val="left" w:pos="5360"/>
        </w:tabs>
        <w:autoSpaceDE w:val="0"/>
        <w:autoSpaceDN w:val="0"/>
        <w:adjustRightInd w:val="0"/>
        <w:snapToGrid w:val="0"/>
        <w:jc w:val="center"/>
        <w:rPr>
          <w:rFonts w:ascii="宋体" w:hAnsi="宋体" w:eastAsia="宋体" w:cs="宋体"/>
          <w:b/>
          <w:snapToGrid w:val="0"/>
          <w:color w:val="auto"/>
          <w:kern w:val="0"/>
          <w:sz w:val="84"/>
          <w:szCs w:val="84"/>
          <w:highlight w:val="none"/>
        </w:rPr>
      </w:pPr>
      <w:bookmarkStart w:id="367" w:name="_Toc25248_WPSOffice_Level3"/>
      <w:r>
        <w:rPr>
          <w:rFonts w:hint="eastAsia" w:ascii="宋体" w:hAnsi="宋体" w:eastAsia="宋体" w:cs="宋体"/>
          <w:b/>
          <w:snapToGrid w:val="0"/>
          <w:color w:val="auto"/>
          <w:kern w:val="0"/>
          <w:sz w:val="84"/>
          <w:szCs w:val="84"/>
          <w:highlight w:val="none"/>
        </w:rPr>
        <w:t>投标文件</w:t>
      </w:r>
      <w:bookmarkEnd w:id="367"/>
    </w:p>
    <w:p>
      <w:pPr>
        <w:autoSpaceDE w:val="0"/>
        <w:autoSpaceDN w:val="0"/>
        <w:adjustRightInd w:val="0"/>
        <w:snapToGrid w:val="0"/>
        <w:rPr>
          <w:rFonts w:ascii="宋体" w:hAnsi="宋体" w:eastAsia="宋体" w:cs="宋体"/>
          <w:snapToGrid w:val="0"/>
          <w:color w:val="auto"/>
          <w:kern w:val="0"/>
          <w:sz w:val="16"/>
          <w:szCs w:val="16"/>
          <w:highlight w:val="none"/>
        </w:rPr>
      </w:pPr>
    </w:p>
    <w:p>
      <w:pPr>
        <w:autoSpaceDE w:val="0"/>
        <w:autoSpaceDN w:val="0"/>
        <w:adjustRightInd w:val="0"/>
        <w:snapToGrid w:val="0"/>
        <w:jc w:val="center"/>
        <w:rPr>
          <w:rFonts w:ascii="宋体" w:hAnsi="宋体" w:eastAsia="宋体" w:cs="宋体"/>
          <w:b/>
          <w:snapToGrid w:val="0"/>
          <w:color w:val="auto"/>
          <w:kern w:val="0"/>
          <w:sz w:val="36"/>
          <w:szCs w:val="36"/>
          <w:highlight w:val="none"/>
        </w:rPr>
      </w:pPr>
      <w:bookmarkStart w:id="368" w:name="_Toc27693_WPSOffice_Level3"/>
      <w:bookmarkStart w:id="369" w:name="_Toc32515_WPSOffice_Level2"/>
      <w:r>
        <w:rPr>
          <w:rFonts w:hint="eastAsia" w:ascii="宋体" w:hAnsi="宋体" w:eastAsia="宋体" w:cs="宋体"/>
          <w:b/>
          <w:snapToGrid w:val="0"/>
          <w:color w:val="auto"/>
          <w:kern w:val="0"/>
          <w:sz w:val="36"/>
          <w:szCs w:val="36"/>
          <w:highlight w:val="none"/>
        </w:rPr>
        <w:t>投标函部分</w:t>
      </w:r>
      <w:bookmarkEnd w:id="368"/>
      <w:bookmarkEnd w:id="369"/>
    </w:p>
    <w:p>
      <w:pPr>
        <w:autoSpaceDE w:val="0"/>
        <w:autoSpaceDN w:val="0"/>
        <w:adjustRightInd w:val="0"/>
        <w:snapToGrid w:val="0"/>
        <w:rPr>
          <w:rFonts w:ascii="宋体" w:hAnsi="宋体" w:eastAsia="宋体" w:cs="宋体"/>
          <w:b/>
          <w:snapToGrid w:val="0"/>
          <w:color w:val="auto"/>
          <w:kern w:val="0"/>
          <w:sz w:val="20"/>
          <w:szCs w:val="20"/>
          <w:highlight w:val="none"/>
        </w:rPr>
      </w:pPr>
    </w:p>
    <w:p>
      <w:pPr>
        <w:autoSpaceDE w:val="0"/>
        <w:autoSpaceDN w:val="0"/>
        <w:adjustRightInd w:val="0"/>
        <w:snapToGrid w:val="0"/>
        <w:rPr>
          <w:rFonts w:ascii="宋体" w:hAnsi="宋体" w:eastAsia="宋体" w:cs="宋体"/>
          <w:b/>
          <w:snapToGrid w:val="0"/>
          <w:color w:val="auto"/>
          <w:kern w:val="0"/>
          <w:sz w:val="20"/>
          <w:szCs w:val="20"/>
          <w:highlight w:val="none"/>
        </w:rPr>
      </w:pPr>
    </w:p>
    <w:p>
      <w:pPr>
        <w:autoSpaceDE w:val="0"/>
        <w:autoSpaceDN w:val="0"/>
        <w:adjustRightInd w:val="0"/>
        <w:snapToGrid w:val="0"/>
        <w:rPr>
          <w:rFonts w:ascii="宋体" w:hAnsi="宋体" w:eastAsia="宋体" w:cs="宋体"/>
          <w:b/>
          <w:snapToGrid w:val="0"/>
          <w:color w:val="auto"/>
          <w:kern w:val="0"/>
          <w:sz w:val="20"/>
          <w:szCs w:val="20"/>
          <w:highlight w:val="none"/>
        </w:rPr>
      </w:pPr>
    </w:p>
    <w:p>
      <w:pPr>
        <w:autoSpaceDE w:val="0"/>
        <w:autoSpaceDN w:val="0"/>
        <w:adjustRightInd w:val="0"/>
        <w:snapToGrid w:val="0"/>
        <w:rPr>
          <w:rFonts w:ascii="宋体" w:hAnsi="宋体" w:eastAsia="宋体" w:cs="宋体"/>
          <w:b/>
          <w:snapToGrid w:val="0"/>
          <w:color w:val="auto"/>
          <w:kern w:val="0"/>
          <w:sz w:val="20"/>
          <w:szCs w:val="20"/>
          <w:highlight w:val="none"/>
        </w:rPr>
      </w:pPr>
    </w:p>
    <w:p>
      <w:pPr>
        <w:autoSpaceDE w:val="0"/>
        <w:autoSpaceDN w:val="0"/>
        <w:adjustRightInd w:val="0"/>
        <w:snapToGrid w:val="0"/>
        <w:rPr>
          <w:rFonts w:ascii="宋体" w:hAnsi="宋体" w:eastAsia="宋体" w:cs="宋体"/>
          <w:b/>
          <w:snapToGrid w:val="0"/>
          <w:color w:val="auto"/>
          <w:kern w:val="0"/>
          <w:sz w:val="20"/>
          <w:szCs w:val="20"/>
          <w:highlight w:val="none"/>
        </w:rPr>
      </w:pPr>
    </w:p>
    <w:p>
      <w:pPr>
        <w:autoSpaceDE w:val="0"/>
        <w:autoSpaceDN w:val="0"/>
        <w:adjustRightInd w:val="0"/>
        <w:snapToGrid w:val="0"/>
        <w:rPr>
          <w:rFonts w:ascii="宋体" w:hAnsi="宋体" w:eastAsia="宋体" w:cs="宋体"/>
          <w:b/>
          <w:snapToGrid w:val="0"/>
          <w:color w:val="auto"/>
          <w:kern w:val="0"/>
          <w:sz w:val="20"/>
          <w:szCs w:val="20"/>
          <w:highlight w:val="none"/>
        </w:rPr>
      </w:pPr>
    </w:p>
    <w:p>
      <w:pPr>
        <w:autoSpaceDE w:val="0"/>
        <w:autoSpaceDN w:val="0"/>
        <w:adjustRightInd w:val="0"/>
        <w:snapToGrid w:val="0"/>
        <w:rPr>
          <w:rFonts w:ascii="宋体" w:hAnsi="宋体" w:eastAsia="宋体" w:cs="宋体"/>
          <w:b/>
          <w:snapToGrid w:val="0"/>
          <w:color w:val="auto"/>
          <w:kern w:val="0"/>
          <w:sz w:val="20"/>
          <w:szCs w:val="20"/>
          <w:highlight w:val="none"/>
        </w:rPr>
      </w:pPr>
    </w:p>
    <w:p>
      <w:pPr>
        <w:autoSpaceDE w:val="0"/>
        <w:autoSpaceDN w:val="0"/>
        <w:adjustRightInd w:val="0"/>
        <w:snapToGrid w:val="0"/>
        <w:rPr>
          <w:rFonts w:ascii="宋体" w:hAnsi="宋体" w:eastAsia="宋体" w:cs="宋体"/>
          <w:b/>
          <w:snapToGrid w:val="0"/>
          <w:color w:val="auto"/>
          <w:kern w:val="0"/>
          <w:sz w:val="20"/>
          <w:szCs w:val="20"/>
          <w:highlight w:val="none"/>
        </w:rPr>
      </w:pPr>
    </w:p>
    <w:p>
      <w:pPr>
        <w:autoSpaceDE w:val="0"/>
        <w:autoSpaceDN w:val="0"/>
        <w:adjustRightInd w:val="0"/>
        <w:snapToGrid w:val="0"/>
        <w:rPr>
          <w:rFonts w:ascii="宋体" w:hAnsi="宋体" w:eastAsia="宋体" w:cs="宋体"/>
          <w:b/>
          <w:snapToGrid w:val="0"/>
          <w:color w:val="auto"/>
          <w:kern w:val="0"/>
          <w:sz w:val="20"/>
          <w:szCs w:val="20"/>
          <w:highlight w:val="none"/>
        </w:rPr>
      </w:pPr>
    </w:p>
    <w:p>
      <w:pPr>
        <w:autoSpaceDE w:val="0"/>
        <w:autoSpaceDN w:val="0"/>
        <w:adjustRightInd w:val="0"/>
        <w:snapToGrid w:val="0"/>
        <w:rPr>
          <w:rFonts w:ascii="宋体" w:hAnsi="宋体" w:eastAsia="宋体" w:cs="宋体"/>
          <w:b/>
          <w:snapToGrid w:val="0"/>
          <w:color w:val="auto"/>
          <w:kern w:val="0"/>
          <w:sz w:val="20"/>
          <w:szCs w:val="20"/>
          <w:highlight w:val="none"/>
        </w:rPr>
      </w:pPr>
    </w:p>
    <w:p>
      <w:pPr>
        <w:autoSpaceDE w:val="0"/>
        <w:autoSpaceDN w:val="0"/>
        <w:adjustRightInd w:val="0"/>
        <w:snapToGrid w:val="0"/>
        <w:rPr>
          <w:rFonts w:ascii="宋体" w:hAnsi="宋体" w:eastAsia="宋体" w:cs="宋体"/>
          <w:b/>
          <w:snapToGrid w:val="0"/>
          <w:color w:val="auto"/>
          <w:kern w:val="0"/>
          <w:sz w:val="20"/>
          <w:szCs w:val="20"/>
          <w:highlight w:val="none"/>
        </w:rPr>
      </w:pPr>
    </w:p>
    <w:p>
      <w:pPr>
        <w:autoSpaceDE w:val="0"/>
        <w:autoSpaceDN w:val="0"/>
        <w:adjustRightInd w:val="0"/>
        <w:snapToGrid w:val="0"/>
        <w:rPr>
          <w:rFonts w:ascii="宋体" w:hAnsi="宋体" w:eastAsia="宋体" w:cs="宋体"/>
          <w:b/>
          <w:snapToGrid w:val="0"/>
          <w:color w:val="auto"/>
          <w:kern w:val="0"/>
          <w:sz w:val="20"/>
          <w:szCs w:val="20"/>
          <w:highlight w:val="none"/>
        </w:rPr>
      </w:pPr>
    </w:p>
    <w:p>
      <w:pPr>
        <w:autoSpaceDE w:val="0"/>
        <w:autoSpaceDN w:val="0"/>
        <w:adjustRightInd w:val="0"/>
        <w:snapToGrid w:val="0"/>
        <w:rPr>
          <w:rFonts w:ascii="宋体" w:hAnsi="宋体" w:eastAsia="宋体" w:cs="宋体"/>
          <w:b/>
          <w:snapToGrid w:val="0"/>
          <w:color w:val="auto"/>
          <w:kern w:val="0"/>
          <w:sz w:val="20"/>
          <w:szCs w:val="20"/>
          <w:highlight w:val="none"/>
        </w:rPr>
      </w:pPr>
    </w:p>
    <w:p>
      <w:pPr>
        <w:autoSpaceDE w:val="0"/>
        <w:autoSpaceDN w:val="0"/>
        <w:adjustRightInd w:val="0"/>
        <w:snapToGrid w:val="0"/>
        <w:rPr>
          <w:rFonts w:ascii="宋体" w:hAnsi="宋体" w:eastAsia="宋体" w:cs="宋体"/>
          <w:b/>
          <w:snapToGrid w:val="0"/>
          <w:color w:val="auto"/>
          <w:kern w:val="0"/>
          <w:sz w:val="20"/>
          <w:szCs w:val="20"/>
          <w:highlight w:val="none"/>
        </w:rPr>
      </w:pPr>
    </w:p>
    <w:p>
      <w:pPr>
        <w:tabs>
          <w:tab w:val="left" w:pos="6080"/>
          <w:tab w:val="left" w:pos="6640"/>
        </w:tabs>
        <w:autoSpaceDE w:val="0"/>
        <w:autoSpaceDN w:val="0"/>
        <w:adjustRightInd w:val="0"/>
        <w:snapToGrid w:val="0"/>
        <w:jc w:val="center"/>
        <w:rPr>
          <w:rFonts w:ascii="宋体" w:hAnsi="宋体" w:eastAsia="宋体" w:cs="宋体"/>
          <w:b/>
          <w:snapToGrid w:val="0"/>
          <w:color w:val="auto"/>
          <w:w w:val="99"/>
          <w:kern w:val="0"/>
          <w:sz w:val="28"/>
          <w:szCs w:val="28"/>
          <w:highlight w:val="none"/>
        </w:rPr>
      </w:pPr>
      <w:bookmarkStart w:id="370" w:name="_Toc32614_WPSOffice_Level3"/>
      <w:r>
        <w:rPr>
          <w:rFonts w:hint="eastAsia" w:ascii="宋体" w:hAnsi="宋体" w:eastAsia="宋体" w:cs="宋体"/>
          <w:b/>
          <w:snapToGrid w:val="0"/>
          <w:color w:val="auto"/>
          <w:w w:val="99"/>
          <w:kern w:val="0"/>
          <w:sz w:val="28"/>
          <w:szCs w:val="28"/>
          <w:highlight w:val="none"/>
        </w:rPr>
        <w:t>投标人：</w:t>
      </w:r>
      <w:r>
        <w:rPr>
          <w:rFonts w:hint="eastAsia" w:ascii="宋体" w:hAnsi="宋体" w:eastAsia="宋体" w:cs="宋体"/>
          <w:b/>
          <w:snapToGrid w:val="0"/>
          <w:color w:val="auto"/>
          <w:w w:val="198"/>
          <w:kern w:val="0"/>
          <w:sz w:val="28"/>
          <w:szCs w:val="28"/>
          <w:highlight w:val="none"/>
          <w:u w:val="single"/>
        </w:rPr>
        <w:t>　　　　　　</w:t>
      </w:r>
      <w:r>
        <w:rPr>
          <w:rFonts w:hint="eastAsia" w:ascii="宋体" w:hAnsi="宋体" w:eastAsia="宋体" w:cs="宋体"/>
          <w:b/>
          <w:snapToGrid w:val="0"/>
          <w:color w:val="auto"/>
          <w:w w:val="99"/>
          <w:kern w:val="0"/>
          <w:sz w:val="28"/>
          <w:szCs w:val="28"/>
          <w:highlight w:val="none"/>
        </w:rPr>
        <w:t>（盖单位章）</w:t>
      </w:r>
      <w:bookmarkEnd w:id="370"/>
    </w:p>
    <w:p>
      <w:pPr>
        <w:tabs>
          <w:tab w:val="left" w:pos="6080"/>
          <w:tab w:val="left" w:pos="6640"/>
        </w:tabs>
        <w:autoSpaceDE w:val="0"/>
        <w:autoSpaceDN w:val="0"/>
        <w:adjustRightInd w:val="0"/>
        <w:snapToGrid w:val="0"/>
        <w:jc w:val="center"/>
        <w:rPr>
          <w:rFonts w:ascii="宋体" w:hAnsi="宋体" w:eastAsia="宋体" w:cs="宋体"/>
          <w:b/>
          <w:snapToGrid w:val="0"/>
          <w:color w:val="auto"/>
          <w:kern w:val="0"/>
          <w:sz w:val="28"/>
          <w:szCs w:val="28"/>
          <w:highlight w:val="none"/>
        </w:rPr>
      </w:pPr>
      <w:bookmarkStart w:id="371" w:name="_Toc6329_WPSOffice_Level3"/>
      <w:r>
        <w:rPr>
          <w:rFonts w:hint="eastAsia" w:ascii="宋体" w:hAnsi="宋体" w:eastAsia="宋体" w:cs="宋体"/>
          <w:b/>
          <w:snapToGrid w:val="0"/>
          <w:color w:val="auto"/>
          <w:w w:val="99"/>
          <w:kern w:val="0"/>
          <w:sz w:val="28"/>
          <w:szCs w:val="28"/>
          <w:highlight w:val="none"/>
        </w:rPr>
        <w:t>法定代表人</w:t>
      </w:r>
      <w:r>
        <w:rPr>
          <w:rFonts w:hint="eastAsia" w:ascii="宋体" w:hAnsi="宋体" w:eastAsia="宋体" w:cs="宋体"/>
          <w:b/>
          <w:snapToGrid w:val="0"/>
          <w:color w:val="auto"/>
          <w:w w:val="99"/>
          <w:kern w:val="0"/>
          <w:sz w:val="28"/>
          <w:szCs w:val="28"/>
          <w:highlight w:val="none"/>
          <w:lang w:eastAsia="zh-CN"/>
        </w:rPr>
        <w:t>（单位负责人）</w:t>
      </w:r>
      <w:r>
        <w:rPr>
          <w:rFonts w:hint="eastAsia" w:ascii="宋体" w:hAnsi="宋体" w:eastAsia="宋体" w:cs="宋体"/>
          <w:b/>
          <w:snapToGrid w:val="0"/>
          <w:color w:val="auto"/>
          <w:w w:val="99"/>
          <w:kern w:val="0"/>
          <w:sz w:val="28"/>
          <w:szCs w:val="28"/>
          <w:highlight w:val="none"/>
        </w:rPr>
        <w:t>或其委托代理人：</w:t>
      </w:r>
      <w:r>
        <w:rPr>
          <w:rFonts w:hint="eastAsia" w:ascii="宋体" w:hAnsi="宋体" w:eastAsia="宋体" w:cs="宋体"/>
          <w:b/>
          <w:snapToGrid w:val="0"/>
          <w:color w:val="auto"/>
          <w:w w:val="198"/>
          <w:kern w:val="0"/>
          <w:sz w:val="28"/>
          <w:szCs w:val="28"/>
          <w:highlight w:val="none"/>
          <w:u w:val="single"/>
        </w:rPr>
        <w:t>　　　</w:t>
      </w:r>
      <w:r>
        <w:rPr>
          <w:rFonts w:hint="eastAsia" w:ascii="宋体" w:hAnsi="宋体" w:eastAsia="宋体" w:cs="宋体"/>
          <w:b/>
          <w:snapToGrid w:val="0"/>
          <w:color w:val="auto"/>
          <w:w w:val="99"/>
          <w:kern w:val="0"/>
          <w:sz w:val="28"/>
          <w:szCs w:val="28"/>
          <w:highlight w:val="none"/>
        </w:rPr>
        <w:t>（签字）</w:t>
      </w:r>
      <w:bookmarkEnd w:id="371"/>
    </w:p>
    <w:p>
      <w:pPr>
        <w:tabs>
          <w:tab w:val="left" w:pos="3280"/>
          <w:tab w:val="left" w:pos="4680"/>
          <w:tab w:val="left" w:pos="6080"/>
        </w:tabs>
        <w:autoSpaceDE w:val="0"/>
        <w:autoSpaceDN w:val="0"/>
        <w:adjustRightInd w:val="0"/>
        <w:snapToGrid w:val="0"/>
        <w:jc w:val="center"/>
        <w:rPr>
          <w:rFonts w:ascii="宋体" w:hAnsi="宋体" w:eastAsia="宋体" w:cs="宋体"/>
          <w:b/>
          <w:snapToGrid w:val="0"/>
          <w:color w:val="auto"/>
          <w:kern w:val="0"/>
          <w:sz w:val="28"/>
          <w:szCs w:val="28"/>
          <w:highlight w:val="none"/>
        </w:rPr>
      </w:pPr>
      <w:bookmarkStart w:id="372" w:name="_Toc28988_WPSOffice_Level3"/>
      <w:r>
        <w:rPr>
          <w:rFonts w:hint="eastAsia" w:ascii="宋体" w:hAnsi="宋体" w:eastAsia="宋体" w:cs="宋体"/>
          <w:b/>
          <w:snapToGrid w:val="0"/>
          <w:color w:val="auto"/>
          <w:w w:val="99"/>
          <w:kern w:val="0"/>
          <w:sz w:val="28"/>
          <w:szCs w:val="28"/>
          <w:highlight w:val="none"/>
        </w:rPr>
        <w:t>年    月    日</w:t>
      </w:r>
      <w:bookmarkEnd w:id="372"/>
    </w:p>
    <w:p>
      <w:pPr>
        <w:autoSpaceDE w:val="0"/>
        <w:autoSpaceDN w:val="0"/>
        <w:adjustRightInd w:val="0"/>
        <w:snapToGrid w:val="0"/>
        <w:jc w:val="center"/>
        <w:rPr>
          <w:rFonts w:ascii="宋体" w:hAnsi="宋体" w:eastAsia="宋体" w:cs="宋体"/>
          <w:b/>
          <w:snapToGrid w:val="0"/>
          <w:color w:val="auto"/>
          <w:kern w:val="0"/>
          <w:sz w:val="32"/>
          <w:szCs w:val="32"/>
          <w:highlight w:val="none"/>
        </w:rPr>
      </w:pPr>
      <w:r>
        <w:rPr>
          <w:rFonts w:hint="eastAsia" w:ascii="宋体" w:hAnsi="宋体" w:eastAsia="宋体" w:cs="宋体"/>
          <w:snapToGrid w:val="0"/>
          <w:color w:val="auto"/>
          <w:kern w:val="0"/>
          <w:szCs w:val="21"/>
          <w:highlight w:val="none"/>
        </w:rPr>
        <w:br w:type="page"/>
      </w:r>
      <w:bookmarkStart w:id="373" w:name="_Toc6946_WPSOffice_Level1"/>
      <w:bookmarkStart w:id="374" w:name="_Toc4488_WPSOffice_Level2"/>
      <w:r>
        <w:rPr>
          <w:rFonts w:hint="eastAsia" w:ascii="宋体" w:hAnsi="宋体" w:eastAsia="宋体" w:cs="宋体"/>
          <w:b/>
          <w:snapToGrid w:val="0"/>
          <w:color w:val="auto"/>
          <w:kern w:val="0"/>
          <w:sz w:val="32"/>
          <w:szCs w:val="32"/>
          <w:highlight w:val="none"/>
        </w:rPr>
        <w:t>目  录</w:t>
      </w:r>
      <w:bookmarkEnd w:id="373"/>
      <w:bookmarkEnd w:id="374"/>
    </w:p>
    <w:p>
      <w:pPr>
        <w:autoSpaceDE w:val="0"/>
        <w:autoSpaceDN w:val="0"/>
        <w:adjustRightInd w:val="0"/>
        <w:snapToGrid w:val="0"/>
        <w:rPr>
          <w:rFonts w:ascii="宋体" w:hAnsi="宋体" w:eastAsia="宋体" w:cs="宋体"/>
          <w:snapToGrid w:val="0"/>
          <w:color w:val="auto"/>
          <w:kern w:val="0"/>
          <w:szCs w:val="21"/>
          <w:highlight w:val="none"/>
        </w:rPr>
      </w:pPr>
    </w:p>
    <w:p>
      <w:pPr>
        <w:autoSpaceDE w:val="0"/>
        <w:autoSpaceDN w:val="0"/>
        <w:adjustRightInd w:val="0"/>
        <w:ind w:right="-20"/>
        <w:rPr>
          <w:rFonts w:ascii="宋体" w:hAnsi="宋体" w:eastAsia="宋体" w:cs="宋体"/>
          <w:snapToGrid w:val="0"/>
          <w:color w:val="auto"/>
          <w:kern w:val="0"/>
          <w:sz w:val="21"/>
          <w:szCs w:val="21"/>
          <w:highlight w:val="none"/>
        </w:rPr>
      </w:pPr>
      <w:bookmarkStart w:id="375" w:name="_Toc24379_WPSOffice_Level2"/>
      <w:bookmarkStart w:id="376" w:name="_Toc4363_WPSOffice_Level1"/>
      <w:r>
        <w:rPr>
          <w:rFonts w:hint="eastAsia" w:ascii="宋体" w:hAnsi="宋体" w:eastAsia="宋体" w:cs="宋体"/>
          <w:snapToGrid w:val="0"/>
          <w:color w:val="auto"/>
          <w:kern w:val="0"/>
          <w:sz w:val="21"/>
          <w:szCs w:val="21"/>
          <w:highlight w:val="none"/>
        </w:rPr>
        <w:t>（一）投标函</w:t>
      </w:r>
      <w:bookmarkEnd w:id="375"/>
      <w:bookmarkEnd w:id="376"/>
    </w:p>
    <w:p>
      <w:pPr>
        <w:autoSpaceDE w:val="0"/>
        <w:autoSpaceDN w:val="0"/>
        <w:adjustRightInd w:val="0"/>
        <w:ind w:right="-20"/>
        <w:rPr>
          <w:rFonts w:ascii="宋体" w:hAnsi="宋体" w:eastAsia="宋体" w:cs="宋体"/>
          <w:snapToGrid w:val="0"/>
          <w:color w:val="auto"/>
          <w:kern w:val="0"/>
          <w:sz w:val="21"/>
          <w:szCs w:val="21"/>
          <w:highlight w:val="none"/>
        </w:rPr>
      </w:pPr>
      <w:bookmarkStart w:id="377" w:name="_Toc21832_WPSOffice_Level1"/>
      <w:bookmarkStart w:id="378" w:name="_Toc21131_WPSOffice_Level2"/>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二</w:t>
      </w:r>
      <w:r>
        <w:rPr>
          <w:rFonts w:hint="eastAsia" w:ascii="宋体" w:hAnsi="宋体" w:eastAsia="宋体" w:cs="宋体"/>
          <w:snapToGrid w:val="0"/>
          <w:color w:val="auto"/>
          <w:kern w:val="0"/>
          <w:sz w:val="21"/>
          <w:szCs w:val="21"/>
          <w:highlight w:val="none"/>
        </w:rPr>
        <w:t>）法定代表人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身份证明及授权委托书</w:t>
      </w:r>
      <w:bookmarkEnd w:id="377"/>
      <w:bookmarkEnd w:id="378"/>
    </w:p>
    <w:p>
      <w:pPr>
        <w:autoSpaceDE w:val="0"/>
        <w:autoSpaceDN w:val="0"/>
        <w:adjustRightInd w:val="0"/>
        <w:snapToGrid w:val="0"/>
        <w:rPr>
          <w:rFonts w:ascii="宋体" w:hAnsi="宋体" w:eastAsia="宋体" w:cs="宋体"/>
          <w:snapToGrid w:val="0"/>
          <w:color w:val="auto"/>
          <w:kern w:val="0"/>
          <w:sz w:val="21"/>
          <w:szCs w:val="21"/>
          <w:highlight w:val="none"/>
        </w:rPr>
      </w:pPr>
    </w:p>
    <w:p>
      <w:pPr>
        <w:autoSpaceDE w:val="0"/>
        <w:autoSpaceDN w:val="0"/>
        <w:adjustRightInd w:val="0"/>
        <w:snapToGrid w:val="0"/>
        <w:rPr>
          <w:rFonts w:ascii="宋体" w:hAnsi="宋体" w:eastAsia="宋体" w:cs="宋体"/>
          <w:snapToGrid w:val="0"/>
          <w:color w:val="auto"/>
          <w:kern w:val="0"/>
          <w:szCs w:val="21"/>
          <w:highlight w:val="none"/>
        </w:rPr>
      </w:pPr>
    </w:p>
    <w:p>
      <w:pPr>
        <w:autoSpaceDE w:val="0"/>
        <w:autoSpaceDN w:val="0"/>
        <w:adjustRightInd w:val="0"/>
        <w:snapToGrid w:val="0"/>
        <w:rPr>
          <w:rFonts w:ascii="宋体" w:hAnsi="宋体" w:eastAsia="宋体" w:cs="宋体"/>
          <w:snapToGrid w:val="0"/>
          <w:color w:val="auto"/>
          <w:kern w:val="0"/>
          <w:szCs w:val="21"/>
          <w:highlight w:val="none"/>
        </w:rPr>
      </w:pPr>
    </w:p>
    <w:p>
      <w:pPr>
        <w:autoSpaceDE w:val="0"/>
        <w:autoSpaceDN w:val="0"/>
        <w:adjustRightInd w:val="0"/>
        <w:snapToGrid w:val="0"/>
        <w:rPr>
          <w:rFonts w:ascii="宋体" w:hAnsi="宋体" w:eastAsia="宋体" w:cs="宋体"/>
          <w:snapToGrid w:val="0"/>
          <w:color w:val="auto"/>
          <w:kern w:val="0"/>
          <w:highlight w:val="none"/>
        </w:rPr>
      </w:pPr>
    </w:p>
    <w:p>
      <w:pPr>
        <w:autoSpaceDE w:val="0"/>
        <w:autoSpaceDN w:val="0"/>
        <w:adjustRightInd w:val="0"/>
        <w:snapToGrid w:val="0"/>
        <w:rPr>
          <w:rFonts w:ascii="宋体" w:hAnsi="宋体" w:eastAsia="宋体" w:cs="宋体"/>
          <w:snapToGrid w:val="0"/>
          <w:color w:val="auto"/>
          <w:kern w:val="0"/>
          <w:highlight w:val="none"/>
        </w:rPr>
      </w:pPr>
    </w:p>
    <w:p>
      <w:pPr>
        <w:autoSpaceDE w:val="0"/>
        <w:autoSpaceDN w:val="0"/>
        <w:adjustRightInd w:val="0"/>
        <w:snapToGrid w:val="0"/>
        <w:rPr>
          <w:rFonts w:ascii="宋体" w:hAnsi="宋体" w:eastAsia="宋体" w:cs="宋体"/>
          <w:snapToGrid w:val="0"/>
          <w:color w:val="auto"/>
          <w:kern w:val="0"/>
          <w:highlight w:val="none"/>
        </w:rPr>
      </w:pPr>
    </w:p>
    <w:p>
      <w:pPr>
        <w:autoSpaceDE w:val="0"/>
        <w:autoSpaceDN w:val="0"/>
        <w:adjustRightInd w:val="0"/>
        <w:snapToGrid w:val="0"/>
        <w:rPr>
          <w:rFonts w:ascii="宋体" w:hAnsi="宋体" w:eastAsia="宋体" w:cs="宋体"/>
          <w:snapToGrid w:val="0"/>
          <w:color w:val="auto"/>
          <w:kern w:val="0"/>
          <w:highlight w:val="none"/>
        </w:rPr>
      </w:pPr>
    </w:p>
    <w:p>
      <w:pPr>
        <w:autoSpaceDE w:val="0"/>
        <w:autoSpaceDN w:val="0"/>
        <w:adjustRightInd w:val="0"/>
        <w:snapToGrid w:val="0"/>
        <w:rPr>
          <w:rFonts w:ascii="宋体" w:hAnsi="宋体" w:eastAsia="宋体" w:cs="宋体"/>
          <w:snapToGrid w:val="0"/>
          <w:color w:val="auto"/>
          <w:kern w:val="0"/>
          <w:highlight w:val="none"/>
        </w:rPr>
      </w:pPr>
    </w:p>
    <w:p>
      <w:pPr>
        <w:autoSpaceDE w:val="0"/>
        <w:autoSpaceDN w:val="0"/>
        <w:adjustRightInd w:val="0"/>
        <w:snapToGrid w:val="0"/>
        <w:rPr>
          <w:rFonts w:ascii="宋体" w:hAnsi="宋体" w:eastAsia="宋体" w:cs="宋体"/>
          <w:snapToGrid w:val="0"/>
          <w:color w:val="auto"/>
          <w:kern w:val="0"/>
          <w:highlight w:val="none"/>
        </w:rPr>
      </w:pPr>
    </w:p>
    <w:p>
      <w:pPr>
        <w:autoSpaceDE w:val="0"/>
        <w:autoSpaceDN w:val="0"/>
        <w:adjustRightInd w:val="0"/>
        <w:snapToGrid w:val="0"/>
        <w:rPr>
          <w:rFonts w:ascii="宋体" w:hAnsi="宋体" w:eastAsia="宋体" w:cs="宋体"/>
          <w:snapToGrid w:val="0"/>
          <w:color w:val="auto"/>
          <w:kern w:val="0"/>
          <w:highlight w:val="none"/>
        </w:rPr>
      </w:pPr>
    </w:p>
    <w:p>
      <w:pPr>
        <w:autoSpaceDE w:val="0"/>
        <w:autoSpaceDN w:val="0"/>
        <w:adjustRightInd w:val="0"/>
        <w:snapToGrid w:val="0"/>
        <w:rPr>
          <w:rFonts w:ascii="宋体" w:hAnsi="宋体" w:eastAsia="宋体" w:cs="宋体"/>
          <w:snapToGrid w:val="0"/>
          <w:color w:val="auto"/>
          <w:kern w:val="0"/>
          <w:highlight w:val="none"/>
        </w:rPr>
      </w:pPr>
    </w:p>
    <w:p>
      <w:pPr>
        <w:autoSpaceDE w:val="0"/>
        <w:autoSpaceDN w:val="0"/>
        <w:adjustRightInd w:val="0"/>
        <w:snapToGrid w:val="0"/>
        <w:rPr>
          <w:rFonts w:ascii="宋体" w:hAnsi="宋体" w:eastAsia="宋体" w:cs="宋体"/>
          <w:snapToGrid w:val="0"/>
          <w:color w:val="auto"/>
          <w:w w:val="99"/>
          <w:kern w:val="0"/>
          <w:sz w:val="28"/>
          <w:szCs w:val="28"/>
          <w:highlight w:val="none"/>
        </w:rPr>
      </w:pPr>
    </w:p>
    <w:p>
      <w:pPr>
        <w:autoSpaceDE w:val="0"/>
        <w:autoSpaceDN w:val="0"/>
        <w:adjustRightInd w:val="0"/>
        <w:snapToGrid w:val="0"/>
        <w:rPr>
          <w:rFonts w:ascii="宋体" w:hAnsi="宋体" w:eastAsia="宋体" w:cs="宋体"/>
          <w:snapToGrid w:val="0"/>
          <w:color w:val="auto"/>
          <w:w w:val="99"/>
          <w:kern w:val="0"/>
          <w:sz w:val="28"/>
          <w:szCs w:val="28"/>
          <w:highlight w:val="none"/>
        </w:rPr>
      </w:pPr>
    </w:p>
    <w:p>
      <w:pPr>
        <w:autoSpaceDE w:val="0"/>
        <w:autoSpaceDN w:val="0"/>
        <w:adjustRightInd w:val="0"/>
        <w:snapToGrid w:val="0"/>
        <w:rPr>
          <w:rFonts w:ascii="宋体" w:hAnsi="宋体" w:eastAsia="宋体" w:cs="宋体"/>
          <w:snapToGrid w:val="0"/>
          <w:color w:val="auto"/>
          <w:w w:val="99"/>
          <w:kern w:val="0"/>
          <w:sz w:val="28"/>
          <w:szCs w:val="28"/>
          <w:highlight w:val="none"/>
        </w:rPr>
      </w:pPr>
    </w:p>
    <w:p>
      <w:pPr>
        <w:autoSpaceDE w:val="0"/>
        <w:autoSpaceDN w:val="0"/>
        <w:adjustRightInd w:val="0"/>
        <w:snapToGrid w:val="0"/>
        <w:rPr>
          <w:rFonts w:ascii="宋体" w:hAnsi="宋体" w:eastAsia="宋体" w:cs="宋体"/>
          <w:snapToGrid w:val="0"/>
          <w:color w:val="auto"/>
          <w:w w:val="99"/>
          <w:kern w:val="0"/>
          <w:sz w:val="28"/>
          <w:szCs w:val="28"/>
          <w:highlight w:val="none"/>
        </w:rPr>
      </w:pPr>
    </w:p>
    <w:p>
      <w:pPr>
        <w:autoSpaceDE w:val="0"/>
        <w:autoSpaceDN w:val="0"/>
        <w:adjustRightInd w:val="0"/>
        <w:spacing w:line="200" w:lineRule="exact"/>
        <w:rPr>
          <w:rFonts w:ascii="宋体" w:hAnsi="宋体" w:eastAsia="宋体" w:cs="宋体"/>
          <w:b/>
          <w:bCs/>
          <w:snapToGrid w:val="0"/>
          <w:color w:val="auto"/>
          <w:sz w:val="28"/>
          <w:szCs w:val="32"/>
          <w:highlight w:val="none"/>
        </w:rPr>
      </w:pPr>
      <w:bookmarkStart w:id="379" w:name="_Toc287607867"/>
      <w:bookmarkStart w:id="380" w:name="_Toc277082643"/>
      <w:bookmarkStart w:id="381" w:name="_Toc342906449"/>
      <w:bookmarkStart w:id="382" w:name="_Toc516620667"/>
      <w:bookmarkStart w:id="383" w:name="_Toc342252669"/>
      <w:bookmarkStart w:id="384" w:name="_Toc342252485"/>
      <w:bookmarkStart w:id="385" w:name="_Toc1262"/>
      <w:bookmarkStart w:id="386" w:name="_Toc451732667"/>
      <w:bookmarkStart w:id="387" w:name="_Toc224103495"/>
      <w:r>
        <w:rPr>
          <w:rFonts w:hint="eastAsia" w:ascii="宋体" w:hAnsi="宋体" w:eastAsia="宋体" w:cs="宋体"/>
          <w:b/>
          <w:bCs/>
          <w:snapToGrid w:val="0"/>
          <w:color w:val="auto"/>
          <w:sz w:val="28"/>
          <w:szCs w:val="32"/>
          <w:highlight w:val="none"/>
        </w:rPr>
        <w:br w:type="page"/>
      </w:r>
    </w:p>
    <w:bookmarkEnd w:id="379"/>
    <w:bookmarkEnd w:id="380"/>
    <w:bookmarkEnd w:id="381"/>
    <w:bookmarkEnd w:id="382"/>
    <w:bookmarkEnd w:id="383"/>
    <w:bookmarkEnd w:id="384"/>
    <w:bookmarkEnd w:id="385"/>
    <w:bookmarkEnd w:id="386"/>
    <w:bookmarkEnd w:id="387"/>
    <w:p>
      <w:pPr>
        <w:tabs>
          <w:tab w:val="left" w:pos="2655"/>
          <w:tab w:val="left" w:pos="3520"/>
          <w:tab w:val="left" w:pos="4920"/>
          <w:tab w:val="left" w:pos="5715"/>
          <w:tab w:val="left" w:pos="6945"/>
          <w:tab w:val="left" w:pos="7980"/>
        </w:tabs>
        <w:autoSpaceDE w:val="0"/>
        <w:autoSpaceDN w:val="0"/>
        <w:adjustRightInd w:val="0"/>
        <w:spacing w:line="354" w:lineRule="auto"/>
        <w:ind w:left="137" w:leftChars="57" w:right="94" w:firstLine="480" w:firstLineChars="200"/>
        <w:rPr>
          <w:rFonts w:ascii="宋体" w:hAnsi="宋体" w:eastAsia="宋体" w:cs="宋体"/>
          <w:snapToGrid w:val="0"/>
          <w:color w:val="auto"/>
          <w:kern w:val="0"/>
          <w:szCs w:val="21"/>
          <w:highlight w:val="none"/>
          <w:u w:val="single"/>
        </w:rPr>
      </w:pPr>
    </w:p>
    <w:p>
      <w:pPr>
        <w:pStyle w:val="5"/>
        <w:jc w:val="center"/>
        <w:rPr>
          <w:rFonts w:ascii="宋体" w:hAnsi="宋体" w:eastAsia="宋体" w:cs="宋体"/>
          <w:snapToGrid w:val="0"/>
          <w:color w:val="auto"/>
          <w:highlight w:val="none"/>
        </w:rPr>
      </w:pPr>
      <w:bookmarkStart w:id="388" w:name="_Toc9918_WPSOffice_Level2"/>
      <w:bookmarkStart w:id="389" w:name="_Toc8654_WPSOffice_Level1"/>
      <w:r>
        <w:rPr>
          <w:rFonts w:hint="eastAsia" w:ascii="宋体" w:hAnsi="宋体" w:eastAsia="宋体" w:cs="宋体"/>
          <w:snapToGrid w:val="0"/>
          <w:color w:val="auto"/>
          <w:highlight w:val="none"/>
        </w:rPr>
        <w:t>（一）投标函</w:t>
      </w:r>
      <w:bookmarkEnd w:id="388"/>
      <w:bookmarkEnd w:id="389"/>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u w:val="single"/>
        </w:rPr>
        <w:t xml:space="preserve">                    （招标人名称）：</w:t>
      </w:r>
    </w:p>
    <w:p>
      <w:pPr>
        <w:tabs>
          <w:tab w:val="left" w:pos="2655"/>
          <w:tab w:val="left" w:pos="3520"/>
          <w:tab w:val="left" w:pos="4920"/>
          <w:tab w:val="left" w:pos="5715"/>
          <w:tab w:val="left" w:pos="6945"/>
          <w:tab w:val="left" w:pos="7980"/>
        </w:tabs>
        <w:autoSpaceDE w:val="0"/>
        <w:autoSpaceDN w:val="0"/>
        <w:adjustRightInd w:val="0"/>
        <w:spacing w:line="354" w:lineRule="auto"/>
        <w:ind w:left="137" w:leftChars="57" w:right="94" w:firstLine="420" w:firstLineChars="20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1．我方已仔细研究了</w:t>
      </w:r>
      <w:r>
        <w:rPr>
          <w:rFonts w:hint="eastAsia" w:ascii="宋体" w:hAnsi="宋体" w:eastAsia="宋体" w:cs="宋体"/>
          <w:snapToGrid w:val="0"/>
          <w:color w:val="auto"/>
          <w:kern w:val="0"/>
          <w:sz w:val="21"/>
          <w:szCs w:val="21"/>
          <w:highlight w:val="none"/>
          <w:u w:val="single"/>
        </w:rPr>
        <w:t xml:space="preserve">（项目名称）                </w:t>
      </w:r>
      <w:r>
        <w:rPr>
          <w:rFonts w:hint="eastAsia" w:ascii="宋体" w:hAnsi="宋体" w:eastAsia="宋体" w:cs="宋体"/>
          <w:snapToGrid w:val="0"/>
          <w:color w:val="auto"/>
          <w:kern w:val="0"/>
          <w:sz w:val="21"/>
          <w:szCs w:val="21"/>
          <w:highlight w:val="none"/>
        </w:rPr>
        <w:t>招标文件的全部内容，愿意以人民币（大写）</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u w:val="single"/>
        </w:rPr>
        <w:t xml:space="preserve">        元</w:t>
      </w:r>
      <w:r>
        <w:rPr>
          <w:rFonts w:hint="eastAsia" w:ascii="宋体" w:hAnsi="宋体" w:eastAsia="宋体" w:cs="宋体"/>
          <w:snapToGrid w:val="0"/>
          <w:color w:val="auto"/>
          <w:kern w:val="0"/>
          <w:sz w:val="21"/>
          <w:szCs w:val="21"/>
          <w:highlight w:val="none"/>
        </w:rPr>
        <w:t>）的投标总报价。服务期</w:t>
      </w:r>
      <w:r>
        <w:rPr>
          <w:rFonts w:hint="eastAsia" w:ascii="宋体" w:hAnsi="宋体" w:eastAsia="宋体" w:cs="宋体"/>
          <w:snapToGrid w:val="0"/>
          <w:color w:val="auto"/>
          <w:kern w:val="0"/>
          <w:sz w:val="21"/>
          <w:szCs w:val="21"/>
          <w:highlight w:val="none"/>
          <w:lang w:val="en-US" w:eastAsia="zh-CN"/>
        </w:rPr>
        <w:t>限</w:t>
      </w:r>
      <w:r>
        <w:rPr>
          <w:rFonts w:hint="eastAsia" w:ascii="宋体" w:hAnsi="宋体" w:eastAsia="宋体" w:cs="宋体"/>
          <w:snapToGrid w:val="0"/>
          <w:color w:val="auto"/>
          <w:kern w:val="0"/>
          <w:sz w:val="21"/>
          <w:szCs w:val="21"/>
          <w:highlight w:val="none"/>
        </w:rPr>
        <w:t>为</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rPr>
        <w:t>。</w:t>
      </w:r>
    </w:p>
    <w:p>
      <w:pPr>
        <w:autoSpaceDE w:val="0"/>
        <w:autoSpaceDN w:val="0"/>
        <w:adjustRightInd w:val="0"/>
        <w:spacing w:before="15"/>
        <w:ind w:right="-2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2．我方承诺在投标有效期内不修改、撤销投标文件。</w:t>
      </w:r>
    </w:p>
    <w:p>
      <w:pPr>
        <w:autoSpaceDE w:val="0"/>
        <w:autoSpaceDN w:val="0"/>
        <w:adjustRightInd w:val="0"/>
        <w:spacing w:before="10" w:line="100" w:lineRule="exact"/>
        <w:rPr>
          <w:rFonts w:ascii="宋体" w:hAnsi="宋体" w:eastAsia="宋体" w:cs="宋体"/>
          <w:snapToGrid w:val="0"/>
          <w:color w:val="auto"/>
          <w:kern w:val="0"/>
          <w:sz w:val="21"/>
          <w:szCs w:val="21"/>
          <w:highlight w:val="none"/>
        </w:rPr>
      </w:pPr>
    </w:p>
    <w:p>
      <w:pPr>
        <w:tabs>
          <w:tab w:val="left" w:pos="2730"/>
          <w:tab w:val="left" w:pos="8190"/>
        </w:tabs>
        <w:autoSpaceDE w:val="0"/>
        <w:autoSpaceDN w:val="0"/>
        <w:adjustRightInd w:val="0"/>
        <w:ind w:right="-119"/>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3．如我方中标：</w:t>
      </w:r>
    </w:p>
    <w:p>
      <w:pPr>
        <w:autoSpaceDE w:val="0"/>
        <w:autoSpaceDN w:val="0"/>
        <w:adjustRightInd w:val="0"/>
        <w:spacing w:before="11" w:line="100" w:lineRule="exact"/>
        <w:rPr>
          <w:rFonts w:ascii="宋体" w:hAnsi="宋体" w:eastAsia="宋体" w:cs="宋体"/>
          <w:snapToGrid w:val="0"/>
          <w:color w:val="auto"/>
          <w:kern w:val="0"/>
          <w:sz w:val="21"/>
          <w:szCs w:val="21"/>
          <w:highlight w:val="none"/>
        </w:rPr>
      </w:pPr>
    </w:p>
    <w:p>
      <w:pPr>
        <w:autoSpaceDE w:val="0"/>
        <w:autoSpaceDN w:val="0"/>
        <w:adjustRightInd w:val="0"/>
        <w:ind w:right="-8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（1）我方承诺在收到中标通知书后，在中标通知书规定的期限内与你方签订合同。</w:t>
      </w:r>
    </w:p>
    <w:p>
      <w:pPr>
        <w:autoSpaceDE w:val="0"/>
        <w:autoSpaceDN w:val="0"/>
        <w:adjustRightInd w:val="0"/>
        <w:spacing w:before="10" w:line="100" w:lineRule="exact"/>
        <w:rPr>
          <w:rFonts w:ascii="宋体" w:hAnsi="宋体" w:eastAsia="宋体" w:cs="宋体"/>
          <w:snapToGrid w:val="0"/>
          <w:color w:val="auto"/>
          <w:kern w:val="0"/>
          <w:sz w:val="21"/>
          <w:szCs w:val="21"/>
          <w:highlight w:val="none"/>
        </w:rPr>
      </w:pPr>
    </w:p>
    <w:p>
      <w:pPr>
        <w:autoSpaceDE w:val="0"/>
        <w:autoSpaceDN w:val="0"/>
        <w:adjustRightInd w:val="0"/>
        <w:ind w:right="-2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（2）随同本投标函递交的投标函属于合同文件的组成部分。</w:t>
      </w:r>
    </w:p>
    <w:p>
      <w:pPr>
        <w:autoSpaceDE w:val="0"/>
        <w:autoSpaceDN w:val="0"/>
        <w:adjustRightInd w:val="0"/>
        <w:spacing w:before="11" w:line="100" w:lineRule="exact"/>
        <w:rPr>
          <w:rFonts w:ascii="宋体" w:hAnsi="宋体" w:eastAsia="宋体" w:cs="宋体"/>
          <w:snapToGrid w:val="0"/>
          <w:color w:val="auto"/>
          <w:kern w:val="0"/>
          <w:sz w:val="21"/>
          <w:szCs w:val="21"/>
          <w:highlight w:val="none"/>
        </w:rPr>
      </w:pPr>
    </w:p>
    <w:p>
      <w:pPr>
        <w:autoSpaceDE w:val="0"/>
        <w:autoSpaceDN w:val="0"/>
        <w:adjustRightInd w:val="0"/>
        <w:ind w:right="-2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（3）我方承诺按照招标文件规定支付代理服务费。</w:t>
      </w:r>
    </w:p>
    <w:p>
      <w:pPr>
        <w:autoSpaceDE w:val="0"/>
        <w:autoSpaceDN w:val="0"/>
        <w:adjustRightInd w:val="0"/>
        <w:spacing w:before="11" w:line="100" w:lineRule="exact"/>
        <w:rPr>
          <w:rFonts w:ascii="宋体" w:hAnsi="宋体" w:eastAsia="宋体" w:cs="宋体"/>
          <w:snapToGrid w:val="0"/>
          <w:color w:val="auto"/>
          <w:kern w:val="0"/>
          <w:sz w:val="21"/>
          <w:szCs w:val="21"/>
          <w:highlight w:val="none"/>
        </w:rPr>
      </w:pPr>
    </w:p>
    <w:p>
      <w:pPr>
        <w:autoSpaceDE w:val="0"/>
        <w:autoSpaceDN w:val="0"/>
        <w:adjustRightInd w:val="0"/>
        <w:ind w:right="-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（4）我方承诺在合同约定的期限内，在甲方的配合下完成服务范围内的水表接交工作。</w:t>
      </w:r>
    </w:p>
    <w:p>
      <w:pPr>
        <w:autoSpaceDE w:val="0"/>
        <w:autoSpaceDN w:val="0"/>
        <w:adjustRightInd w:val="0"/>
        <w:ind w:right="-20" w:firstLine="420" w:firstLineChars="20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4.我方承诺满足招标文件第五章“委托人需求</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的全部内容</w:t>
      </w:r>
    </w:p>
    <w:p>
      <w:pPr>
        <w:autoSpaceDE w:val="0"/>
        <w:autoSpaceDN w:val="0"/>
        <w:adjustRightInd w:val="0"/>
        <w:ind w:right="-20"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我公司的投标文件符合第四章 合同条款及格式规定，投标文件中没有招标人不能接受的条件。</w:t>
      </w:r>
    </w:p>
    <w:p>
      <w:pPr>
        <w:autoSpaceDE w:val="0"/>
        <w:autoSpaceDN w:val="0"/>
        <w:adjustRightInd w:val="0"/>
        <w:ind w:right="-20" w:firstLine="420" w:firstLineChars="20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．我方在此声明，所递交的投标文件及有关资料内容完整、真实和准确，且不存在第二章“投标人须知”第项规定的任何一种情形。</w:t>
      </w:r>
    </w:p>
    <w:p>
      <w:pPr>
        <w:tabs>
          <w:tab w:val="left" w:pos="4940"/>
        </w:tabs>
        <w:autoSpaceDE w:val="0"/>
        <w:autoSpaceDN w:val="0"/>
        <w:adjustRightInd w:val="0"/>
        <w:ind w:right="-20" w:firstLine="420" w:firstLineChars="20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（其他补充说明）。</w:t>
      </w:r>
    </w:p>
    <w:p>
      <w:pPr>
        <w:tabs>
          <w:tab w:val="left" w:pos="7140"/>
          <w:tab w:val="left" w:pos="7560"/>
          <w:tab w:val="left" w:pos="8300"/>
        </w:tabs>
        <w:autoSpaceDE w:val="0"/>
        <w:autoSpaceDN w:val="0"/>
        <w:adjustRightInd w:val="0"/>
        <w:spacing w:line="370" w:lineRule="auto"/>
        <w:ind w:right="210" w:firstLine="1984" w:firstLineChars="945"/>
        <w:rPr>
          <w:rFonts w:ascii="宋体" w:hAnsi="宋体" w:eastAsia="宋体" w:cs="宋体"/>
          <w:snapToGrid w:val="0"/>
          <w:color w:val="auto"/>
          <w:kern w:val="0"/>
          <w:sz w:val="21"/>
          <w:szCs w:val="21"/>
          <w:highlight w:val="none"/>
        </w:rPr>
      </w:pPr>
    </w:p>
    <w:p>
      <w:pPr>
        <w:tabs>
          <w:tab w:val="left" w:pos="7140"/>
          <w:tab w:val="left" w:pos="7560"/>
          <w:tab w:val="left" w:pos="8300"/>
        </w:tabs>
        <w:autoSpaceDE w:val="0"/>
        <w:autoSpaceDN w:val="0"/>
        <w:adjustRightInd w:val="0"/>
        <w:spacing w:line="370" w:lineRule="auto"/>
        <w:ind w:right="210" w:firstLine="2835" w:firstLineChars="1350"/>
        <w:rPr>
          <w:rFonts w:ascii="宋体" w:hAnsi="宋体" w:eastAsia="宋体" w:cs="宋体"/>
          <w:snapToGrid w:val="0"/>
          <w:color w:val="auto"/>
          <w:kern w:val="0"/>
          <w:sz w:val="21"/>
          <w:szCs w:val="21"/>
          <w:highlight w:val="none"/>
        </w:rPr>
      </w:pPr>
    </w:p>
    <w:p>
      <w:pPr>
        <w:tabs>
          <w:tab w:val="left" w:pos="7140"/>
          <w:tab w:val="left" w:pos="7560"/>
          <w:tab w:val="left" w:pos="8300"/>
        </w:tabs>
        <w:autoSpaceDE w:val="0"/>
        <w:autoSpaceDN w:val="0"/>
        <w:adjustRightInd w:val="0"/>
        <w:ind w:right="210" w:firstLine="2310" w:firstLineChars="110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w:t>
      </w:r>
      <w:r>
        <w:rPr>
          <w:rFonts w:hint="eastAsia" w:ascii="宋体" w:hAnsi="宋体" w:eastAsia="宋体" w:cs="宋体"/>
          <w:snapToGrid w:val="0"/>
          <w:color w:val="auto"/>
          <w:kern w:val="0"/>
          <w:sz w:val="21"/>
          <w:szCs w:val="21"/>
          <w:highlight w:val="none"/>
          <w:u w:val="single"/>
        </w:rPr>
        <w:t>　　　              　　</w:t>
      </w:r>
      <w:r>
        <w:rPr>
          <w:rFonts w:hint="eastAsia" w:ascii="宋体" w:hAnsi="宋体" w:eastAsia="宋体" w:cs="宋体"/>
          <w:snapToGrid w:val="0"/>
          <w:color w:val="auto"/>
          <w:kern w:val="0"/>
          <w:sz w:val="21"/>
          <w:szCs w:val="21"/>
          <w:highlight w:val="none"/>
        </w:rPr>
        <w:t>（盖单位章）</w:t>
      </w:r>
    </w:p>
    <w:p>
      <w:pPr>
        <w:tabs>
          <w:tab w:val="left" w:pos="7140"/>
          <w:tab w:val="left" w:pos="7560"/>
          <w:tab w:val="left" w:pos="8300"/>
        </w:tabs>
        <w:autoSpaceDE w:val="0"/>
        <w:autoSpaceDN w:val="0"/>
        <w:adjustRightInd w:val="0"/>
        <w:ind w:right="210" w:firstLine="2310" w:firstLineChars="110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或其委托代理人：</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（签字）</w:t>
      </w:r>
    </w:p>
    <w:p>
      <w:pPr>
        <w:tabs>
          <w:tab w:val="left" w:pos="7035"/>
          <w:tab w:val="left" w:pos="7560"/>
          <w:tab w:val="left" w:pos="8300"/>
        </w:tabs>
        <w:autoSpaceDE w:val="0"/>
        <w:autoSpaceDN w:val="0"/>
        <w:adjustRightInd w:val="0"/>
        <w:ind w:right="210" w:firstLine="2310" w:firstLineChars="110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地址：</w:t>
      </w:r>
      <w:r>
        <w:rPr>
          <w:rFonts w:hint="eastAsia" w:ascii="宋体" w:hAnsi="宋体" w:eastAsia="宋体" w:cs="宋体"/>
          <w:snapToGrid w:val="0"/>
          <w:color w:val="auto"/>
          <w:kern w:val="0"/>
          <w:sz w:val="21"/>
          <w:szCs w:val="21"/>
          <w:highlight w:val="none"/>
          <w:u w:val="single"/>
        </w:rPr>
        <w:tab/>
      </w:r>
    </w:p>
    <w:p>
      <w:pPr>
        <w:pStyle w:val="29"/>
        <w:spacing w:line="360" w:lineRule="auto"/>
        <w:ind w:firstLine="2310" w:firstLineChars="1100"/>
        <w:rPr>
          <w:rFonts w:ascii="宋体" w:hAnsi="宋体" w:eastAsia="宋体" w:cs="宋体"/>
          <w:snapToGrid w:val="0"/>
          <w:color w:val="auto"/>
          <w:kern w:val="0"/>
          <w:sz w:val="21"/>
          <w:szCs w:val="21"/>
          <w:highlight w:val="none"/>
        </w:rPr>
      </w:pPr>
      <w:r>
        <w:rPr>
          <w:rFonts w:hint="eastAsia" w:ascii="宋体" w:hAnsi="宋体" w:eastAsia="宋体" w:cs="宋体"/>
          <w:caps w:val="0"/>
          <w:snapToGrid w:val="0"/>
          <w:color w:val="auto"/>
          <w:kern w:val="0"/>
          <w:sz w:val="21"/>
          <w:szCs w:val="21"/>
          <w:highlight w:val="none"/>
        </w:rPr>
        <w:t>电话：</w:t>
      </w:r>
      <w:r>
        <w:rPr>
          <w:rFonts w:hint="eastAsia" w:ascii="宋体" w:hAnsi="宋体" w:eastAsia="宋体" w:cs="宋体"/>
          <w:caps w:val="0"/>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 </w:t>
      </w:r>
    </w:p>
    <w:p>
      <w:pPr>
        <w:pStyle w:val="29"/>
        <w:ind w:firstLine="4830" w:firstLineChars="2300"/>
        <w:rPr>
          <w:rFonts w:ascii="宋体" w:hAnsi="宋体" w:eastAsia="宋体" w:cs="宋体"/>
          <w:snapToGrid w:val="0"/>
          <w:color w:val="auto"/>
          <w:kern w:val="0"/>
          <w:sz w:val="21"/>
          <w:szCs w:val="21"/>
          <w:highlight w:val="none"/>
        </w:rPr>
      </w:pPr>
    </w:p>
    <w:p>
      <w:pPr>
        <w:pStyle w:val="29"/>
        <w:ind w:firstLine="4830" w:firstLineChars="2300"/>
        <w:rPr>
          <w:rFonts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年   月   日</w:t>
      </w:r>
    </w:p>
    <w:p>
      <w:pPr>
        <w:autoSpaceDE w:val="0"/>
        <w:autoSpaceDN w:val="0"/>
        <w:adjustRightInd w:val="0"/>
        <w:spacing w:line="200" w:lineRule="exact"/>
        <w:rPr>
          <w:rFonts w:ascii="宋体" w:hAnsi="宋体" w:eastAsia="宋体" w:cs="宋体"/>
          <w:snapToGrid w:val="0"/>
          <w:color w:val="auto"/>
          <w:kern w:val="0"/>
          <w:sz w:val="20"/>
          <w:szCs w:val="20"/>
          <w:highlight w:val="none"/>
        </w:rPr>
      </w:pPr>
    </w:p>
    <w:p>
      <w:pPr>
        <w:autoSpaceDE w:val="0"/>
        <w:autoSpaceDN w:val="0"/>
        <w:adjustRightInd w:val="0"/>
        <w:spacing w:before="14" w:line="240" w:lineRule="exact"/>
        <w:rPr>
          <w:rFonts w:ascii="宋体" w:hAnsi="宋体" w:eastAsia="宋体" w:cs="宋体"/>
          <w:snapToGrid w:val="0"/>
          <w:color w:val="auto"/>
          <w:kern w:val="0"/>
          <w:highlight w:val="none"/>
        </w:rPr>
      </w:pPr>
    </w:p>
    <w:p>
      <w:pPr>
        <w:tabs>
          <w:tab w:val="left" w:pos="6000"/>
          <w:tab w:val="left" w:pos="7040"/>
          <w:tab w:val="left" w:pos="8100"/>
        </w:tabs>
        <w:autoSpaceDE w:val="0"/>
        <w:autoSpaceDN w:val="0"/>
        <w:adjustRightInd w:val="0"/>
        <w:spacing w:line="220" w:lineRule="exact"/>
        <w:ind w:right="-20" w:firstLine="5628" w:firstLineChars="2345"/>
        <w:rPr>
          <w:rFonts w:ascii="宋体" w:hAnsi="宋体" w:eastAsia="宋体" w:cs="宋体"/>
          <w:snapToGrid w:val="0"/>
          <w:color w:val="auto"/>
          <w:kern w:val="0"/>
          <w:szCs w:val="21"/>
          <w:highlight w:val="none"/>
        </w:rPr>
      </w:pPr>
    </w:p>
    <w:p>
      <w:pPr>
        <w:pStyle w:val="5"/>
        <w:jc w:val="center"/>
        <w:rPr>
          <w:rFonts w:hint="eastAsia" w:ascii="宋体" w:hAnsi="宋体" w:eastAsia="宋体" w:cs="宋体"/>
          <w:color w:val="auto"/>
          <w:sz w:val="24"/>
          <w:highlight w:val="none"/>
        </w:rPr>
        <w:sectPr>
          <w:headerReference r:id="rId15" w:type="default"/>
          <w:footerReference r:id="rId16" w:type="default"/>
          <w:pgSz w:w="11906" w:h="16838"/>
          <w:pgMar w:top="1418" w:right="1361" w:bottom="1276" w:left="1418" w:header="851" w:footer="992" w:gutter="0"/>
          <w:cols w:space="720" w:num="1"/>
          <w:docGrid w:linePitch="312" w:charSpace="0"/>
        </w:sectPr>
      </w:pPr>
      <w:r>
        <w:rPr>
          <w:rFonts w:hint="eastAsia" w:ascii="宋体" w:hAnsi="宋体" w:eastAsia="宋体" w:cs="宋体"/>
          <w:color w:val="auto"/>
          <w:sz w:val="24"/>
          <w:highlight w:val="none"/>
        </w:rPr>
        <w:br w:type="page"/>
      </w:r>
      <w:bookmarkStart w:id="390" w:name="_Toc516620668"/>
      <w:bookmarkStart w:id="391" w:name="_Toc14710"/>
      <w:bookmarkStart w:id="392" w:name="_Toc32410_WPSOffice_Level1"/>
      <w:bookmarkStart w:id="393" w:name="_Toc18299_WPSOffice_Level2"/>
      <w:bookmarkStart w:id="394" w:name="_Toc451732668"/>
    </w:p>
    <w:bookmarkEnd w:id="390"/>
    <w:bookmarkEnd w:id="391"/>
    <w:bookmarkEnd w:id="392"/>
    <w:bookmarkEnd w:id="393"/>
    <w:bookmarkEnd w:id="394"/>
    <w:p>
      <w:pPr>
        <w:adjustRightInd w:val="0"/>
        <w:snapToGrid w:val="0"/>
        <w:spacing w:line="0" w:lineRule="atLeast"/>
        <w:jc w:val="center"/>
        <w:rPr>
          <w:rFonts w:ascii="宋体" w:hAnsi="宋体" w:eastAsia="宋体" w:cs="宋体"/>
          <w:snapToGrid w:val="0"/>
          <w:color w:val="auto"/>
          <w:kern w:val="0"/>
          <w:highlight w:val="none"/>
        </w:rPr>
      </w:pPr>
      <w:bookmarkStart w:id="395" w:name="_Toc9100_WPSOffice_Level1"/>
      <w:bookmarkStart w:id="396" w:name="_Toc277082645"/>
      <w:bookmarkStart w:id="397" w:name="_Toc27709_WPSOffice_Level1"/>
      <w:bookmarkStart w:id="398" w:name="_Toc287607869"/>
      <w:bookmarkStart w:id="399" w:name="_Toc342252672"/>
      <w:bookmarkStart w:id="400" w:name="_Toc342906452"/>
      <w:bookmarkStart w:id="401" w:name="_Toc342252488"/>
      <w:bookmarkStart w:id="402" w:name="_Toc224103497"/>
      <w:r>
        <w:rPr>
          <w:rFonts w:hint="eastAsia" w:ascii="宋体" w:hAnsi="宋体" w:eastAsia="宋体" w:cs="宋体"/>
          <w:b/>
          <w:bCs/>
          <w:snapToGrid w:val="0"/>
          <w:color w:val="auto"/>
          <w:kern w:val="0"/>
          <w:sz w:val="28"/>
          <w:highlight w:val="none"/>
        </w:rPr>
        <w:t>（</w:t>
      </w:r>
      <w:r>
        <w:rPr>
          <w:rFonts w:hint="eastAsia" w:ascii="宋体" w:hAnsi="宋体" w:eastAsia="宋体" w:cs="宋体"/>
          <w:b/>
          <w:bCs/>
          <w:snapToGrid w:val="0"/>
          <w:color w:val="auto"/>
          <w:kern w:val="0"/>
          <w:sz w:val="28"/>
          <w:highlight w:val="none"/>
          <w:lang w:val="en-US" w:eastAsia="zh-CN"/>
        </w:rPr>
        <w:t>二</w:t>
      </w:r>
      <w:r>
        <w:rPr>
          <w:rFonts w:hint="eastAsia" w:ascii="宋体" w:hAnsi="宋体" w:eastAsia="宋体" w:cs="宋体"/>
          <w:b/>
          <w:bCs/>
          <w:snapToGrid w:val="0"/>
          <w:color w:val="auto"/>
          <w:kern w:val="0"/>
          <w:sz w:val="28"/>
          <w:highlight w:val="none"/>
        </w:rPr>
        <w:t>）法定代表人</w:t>
      </w:r>
      <w:r>
        <w:rPr>
          <w:rFonts w:hint="eastAsia" w:ascii="宋体" w:hAnsi="宋体" w:eastAsia="宋体" w:cs="宋体"/>
          <w:b/>
          <w:bCs/>
          <w:snapToGrid w:val="0"/>
          <w:color w:val="auto"/>
          <w:kern w:val="0"/>
          <w:sz w:val="28"/>
          <w:highlight w:val="none"/>
          <w:lang w:eastAsia="zh-CN"/>
        </w:rPr>
        <w:t>（单位负责人）</w:t>
      </w:r>
      <w:r>
        <w:rPr>
          <w:rFonts w:hint="eastAsia" w:ascii="宋体" w:hAnsi="宋体" w:eastAsia="宋体" w:cs="宋体"/>
          <w:b/>
          <w:bCs/>
          <w:snapToGrid w:val="0"/>
          <w:color w:val="auto"/>
          <w:kern w:val="0"/>
          <w:sz w:val="28"/>
          <w:highlight w:val="none"/>
        </w:rPr>
        <w:t>身份证明及授权委托书</w:t>
      </w:r>
      <w:bookmarkEnd w:id="395"/>
      <w:bookmarkEnd w:id="396"/>
      <w:bookmarkEnd w:id="397"/>
      <w:bookmarkEnd w:id="398"/>
      <w:bookmarkEnd w:id="399"/>
      <w:bookmarkEnd w:id="400"/>
      <w:bookmarkEnd w:id="401"/>
      <w:bookmarkEnd w:id="402"/>
    </w:p>
    <w:p>
      <w:pPr>
        <w:jc w:val="center"/>
        <w:rPr>
          <w:rFonts w:ascii="宋体" w:hAnsi="宋体" w:eastAsia="宋体" w:cs="宋体"/>
          <w:b/>
          <w:snapToGrid w:val="0"/>
          <w:color w:val="auto"/>
          <w:kern w:val="0"/>
          <w:sz w:val="28"/>
          <w:highlight w:val="none"/>
        </w:rPr>
      </w:pPr>
    </w:p>
    <w:p>
      <w:pPr>
        <w:jc w:val="center"/>
        <w:rPr>
          <w:rFonts w:ascii="宋体" w:hAnsi="宋体" w:eastAsia="宋体" w:cs="宋体"/>
          <w:b/>
          <w:snapToGrid w:val="0"/>
          <w:color w:val="auto"/>
          <w:kern w:val="0"/>
          <w:highlight w:val="none"/>
        </w:rPr>
      </w:pPr>
      <w:bookmarkStart w:id="403" w:name="_Toc30081_WPSOffice_Level1"/>
      <w:bookmarkStart w:id="404" w:name="_Toc15203_WPSOffice_Level1"/>
      <w:r>
        <w:rPr>
          <w:rFonts w:hint="eastAsia" w:ascii="宋体" w:hAnsi="宋体" w:eastAsia="宋体" w:cs="宋体"/>
          <w:b/>
          <w:snapToGrid w:val="0"/>
          <w:color w:val="auto"/>
          <w:kern w:val="0"/>
          <w:sz w:val="28"/>
          <w:highlight w:val="none"/>
        </w:rPr>
        <w:t>法定代表人</w:t>
      </w:r>
      <w:r>
        <w:rPr>
          <w:rFonts w:hint="eastAsia" w:ascii="宋体" w:hAnsi="宋体" w:eastAsia="宋体" w:cs="宋体"/>
          <w:b/>
          <w:snapToGrid w:val="0"/>
          <w:color w:val="auto"/>
          <w:kern w:val="0"/>
          <w:sz w:val="28"/>
          <w:highlight w:val="none"/>
          <w:lang w:eastAsia="zh-CN"/>
        </w:rPr>
        <w:t>（单位负责人）</w:t>
      </w:r>
      <w:r>
        <w:rPr>
          <w:rFonts w:hint="eastAsia" w:ascii="宋体" w:hAnsi="宋体" w:eastAsia="宋体" w:cs="宋体"/>
          <w:b/>
          <w:snapToGrid w:val="0"/>
          <w:color w:val="auto"/>
          <w:kern w:val="0"/>
          <w:sz w:val="28"/>
          <w:highlight w:val="none"/>
        </w:rPr>
        <w:t>身份证明</w:t>
      </w:r>
      <w:bookmarkEnd w:id="403"/>
      <w:bookmarkEnd w:id="404"/>
    </w:p>
    <w:p>
      <w:pPr>
        <w:rPr>
          <w:rFonts w:ascii="宋体" w:hAnsi="宋体" w:eastAsia="宋体" w:cs="宋体"/>
          <w:snapToGrid w:val="0"/>
          <w:color w:val="auto"/>
          <w:kern w:val="0"/>
          <w:highlight w:val="none"/>
        </w:rPr>
      </w:pPr>
    </w:p>
    <w:p>
      <w:pPr>
        <w:tabs>
          <w:tab w:val="left" w:pos="5565"/>
        </w:tabs>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投标人名称：</w:t>
      </w:r>
      <w:r>
        <w:rPr>
          <w:rFonts w:hint="eastAsia" w:ascii="宋体" w:hAnsi="宋体" w:eastAsia="宋体" w:cs="宋体"/>
          <w:snapToGrid w:val="0"/>
          <w:color w:val="auto"/>
          <w:kern w:val="0"/>
          <w:sz w:val="21"/>
          <w:szCs w:val="21"/>
          <w:highlight w:val="none"/>
          <w:u w:val="single"/>
        </w:rPr>
        <w:tab/>
      </w:r>
    </w:p>
    <w:p>
      <w:pPr>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p>
    <w:p>
      <w:pPr>
        <w:tabs>
          <w:tab w:val="left" w:pos="5475"/>
        </w:tabs>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单位性质：</w:t>
      </w:r>
      <w:r>
        <w:rPr>
          <w:rFonts w:hint="eastAsia" w:ascii="宋体" w:hAnsi="宋体" w:eastAsia="宋体" w:cs="宋体"/>
          <w:snapToGrid w:val="0"/>
          <w:color w:val="auto"/>
          <w:kern w:val="0"/>
          <w:sz w:val="21"/>
          <w:szCs w:val="21"/>
          <w:highlight w:val="none"/>
          <w:u w:val="single"/>
        </w:rPr>
        <w:tab/>
      </w:r>
    </w:p>
    <w:p>
      <w:pPr>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p>
    <w:p>
      <w:pPr>
        <w:tabs>
          <w:tab w:val="left" w:pos="5475"/>
        </w:tabs>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地址：</w:t>
      </w:r>
      <w:r>
        <w:rPr>
          <w:rFonts w:hint="eastAsia" w:ascii="宋体" w:hAnsi="宋体" w:eastAsia="宋体" w:cs="宋体"/>
          <w:snapToGrid w:val="0"/>
          <w:color w:val="auto"/>
          <w:kern w:val="0"/>
          <w:sz w:val="21"/>
          <w:szCs w:val="21"/>
          <w:highlight w:val="none"/>
          <w:u w:val="single"/>
        </w:rPr>
        <w:tab/>
      </w:r>
    </w:p>
    <w:p>
      <w:pPr>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p>
    <w:p>
      <w:pPr>
        <w:tabs>
          <w:tab w:val="left" w:pos="2520"/>
          <w:tab w:val="left" w:pos="3836"/>
        </w:tabs>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成立时间：</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月日</w:t>
      </w:r>
    </w:p>
    <w:p>
      <w:pPr>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p>
    <w:p>
      <w:pPr>
        <w:tabs>
          <w:tab w:val="left" w:pos="5475"/>
        </w:tabs>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经营期限：</w:t>
      </w:r>
      <w:r>
        <w:rPr>
          <w:rFonts w:hint="eastAsia" w:ascii="宋体" w:hAnsi="宋体" w:eastAsia="宋体" w:cs="宋体"/>
          <w:snapToGrid w:val="0"/>
          <w:color w:val="auto"/>
          <w:kern w:val="0"/>
          <w:sz w:val="21"/>
          <w:szCs w:val="21"/>
          <w:highlight w:val="none"/>
          <w:u w:val="single"/>
        </w:rPr>
        <w:tab/>
      </w:r>
    </w:p>
    <w:p>
      <w:pPr>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p>
    <w:p>
      <w:pPr>
        <w:tabs>
          <w:tab w:val="left" w:pos="1580"/>
          <w:tab w:val="left" w:pos="3260"/>
          <w:tab w:val="left" w:pos="4840"/>
          <w:tab w:val="left" w:pos="6300"/>
        </w:tabs>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姓名：</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性别：</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年龄：</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职务：</w:t>
      </w:r>
      <w:r>
        <w:rPr>
          <w:rFonts w:hint="eastAsia" w:ascii="宋体" w:hAnsi="宋体" w:eastAsia="宋体" w:cs="宋体"/>
          <w:snapToGrid w:val="0"/>
          <w:color w:val="auto"/>
          <w:kern w:val="0"/>
          <w:sz w:val="21"/>
          <w:szCs w:val="21"/>
          <w:highlight w:val="none"/>
          <w:u w:val="single"/>
        </w:rPr>
        <w:tab/>
      </w:r>
    </w:p>
    <w:p>
      <w:pPr>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p>
    <w:p>
      <w:pPr>
        <w:tabs>
          <w:tab w:val="left" w:pos="3360"/>
        </w:tabs>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系</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（投标人名称）的法定代表人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w:t>
      </w:r>
    </w:p>
    <w:p>
      <w:pPr>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p>
    <w:p>
      <w:pPr>
        <w:autoSpaceDE w:val="0"/>
        <w:autoSpaceDN w:val="0"/>
        <w:adjustRightInd w:val="0"/>
        <w:snapToGrid w:val="0"/>
        <w:ind w:firstLine="810" w:firstLineChars="386"/>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特此证明。</w:t>
      </w:r>
    </w:p>
    <w:p>
      <w:pPr>
        <w:autoSpaceDE w:val="0"/>
        <w:autoSpaceDN w:val="0"/>
        <w:adjustRightInd w:val="0"/>
        <w:snapToGrid w:val="0"/>
        <w:rPr>
          <w:rFonts w:ascii="宋体" w:hAnsi="宋体" w:eastAsia="宋体" w:cs="宋体"/>
          <w:snapToGrid w:val="0"/>
          <w:color w:val="auto"/>
          <w:kern w:val="0"/>
          <w:sz w:val="21"/>
          <w:szCs w:val="21"/>
          <w:highlight w:val="none"/>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8440" w:type="dxa"/>
            <w:noWrap w:val="0"/>
            <w:vAlign w:val="top"/>
          </w:tcPr>
          <w:p>
            <w:pPr>
              <w:autoSpaceDE w:val="0"/>
              <w:autoSpaceDN w:val="0"/>
              <w:adjustRightInd w:val="0"/>
              <w:snapToGrid w:val="0"/>
              <w:jc w:val="both"/>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此处粘贴：法定代表人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身份证复印件双面</w:t>
            </w:r>
          </w:p>
        </w:tc>
      </w:tr>
    </w:tbl>
    <w:p>
      <w:pPr>
        <w:autoSpaceDE w:val="0"/>
        <w:autoSpaceDN w:val="0"/>
        <w:adjustRightInd w:val="0"/>
        <w:snapToGrid w:val="0"/>
        <w:rPr>
          <w:rFonts w:ascii="宋体" w:hAnsi="宋体" w:eastAsia="宋体" w:cs="宋体"/>
          <w:snapToGrid w:val="0"/>
          <w:color w:val="auto"/>
          <w:kern w:val="0"/>
          <w:sz w:val="21"/>
          <w:szCs w:val="21"/>
          <w:highlight w:val="none"/>
        </w:rPr>
      </w:pPr>
    </w:p>
    <w:p>
      <w:pPr>
        <w:autoSpaceDE w:val="0"/>
        <w:autoSpaceDN w:val="0"/>
        <w:adjustRightInd w:val="0"/>
        <w:snapToGrid w:val="0"/>
        <w:rPr>
          <w:rFonts w:ascii="宋体" w:hAnsi="宋体" w:eastAsia="宋体" w:cs="宋体"/>
          <w:snapToGrid w:val="0"/>
          <w:color w:val="auto"/>
          <w:kern w:val="0"/>
          <w:sz w:val="21"/>
          <w:szCs w:val="21"/>
          <w:highlight w:val="none"/>
        </w:rPr>
      </w:pPr>
    </w:p>
    <w:p>
      <w:pPr>
        <w:tabs>
          <w:tab w:val="left" w:pos="5460"/>
        </w:tabs>
        <w:autoSpaceDE w:val="0"/>
        <w:autoSpaceDN w:val="0"/>
        <w:adjustRightInd w:val="0"/>
        <w:snapToGrid w:val="0"/>
        <w:ind w:firstLine="210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（盖单位章）</w:t>
      </w:r>
    </w:p>
    <w:p>
      <w:pPr>
        <w:autoSpaceDE w:val="0"/>
        <w:autoSpaceDN w:val="0"/>
        <w:adjustRightInd w:val="0"/>
        <w:snapToGrid w:val="0"/>
        <w:rPr>
          <w:rFonts w:ascii="宋体" w:hAnsi="宋体" w:eastAsia="宋体" w:cs="宋体"/>
          <w:snapToGrid w:val="0"/>
          <w:color w:val="auto"/>
          <w:kern w:val="0"/>
          <w:sz w:val="21"/>
          <w:szCs w:val="21"/>
          <w:highlight w:val="none"/>
        </w:rPr>
      </w:pPr>
    </w:p>
    <w:p>
      <w:pPr>
        <w:tabs>
          <w:tab w:val="left" w:pos="4935"/>
          <w:tab w:val="left" w:pos="5460"/>
          <w:tab w:val="left" w:pos="6400"/>
        </w:tabs>
        <w:autoSpaceDE w:val="0"/>
        <w:autoSpaceDN w:val="0"/>
        <w:adjustRightInd w:val="0"/>
        <w:snapToGrid w:val="0"/>
        <w:ind w:firstLine="3780"/>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 w:val="21"/>
          <w:szCs w:val="21"/>
          <w:highlight w:val="none"/>
        </w:rPr>
        <w:t xml:space="preserve">       年   月    日</w:t>
      </w:r>
    </w:p>
    <w:p>
      <w:pPr>
        <w:autoSpaceDE w:val="0"/>
        <w:autoSpaceDN w:val="0"/>
        <w:adjustRightInd w:val="0"/>
        <w:snapToGrid w:val="0"/>
        <w:rPr>
          <w:rFonts w:ascii="宋体" w:hAnsi="宋体" w:eastAsia="宋体" w:cs="宋体"/>
          <w:snapToGrid w:val="0"/>
          <w:color w:val="auto"/>
          <w:kern w:val="0"/>
          <w:highlight w:val="none"/>
        </w:rPr>
      </w:pPr>
    </w:p>
    <w:p>
      <w:pPr>
        <w:autoSpaceDE w:val="0"/>
        <w:autoSpaceDN w:val="0"/>
        <w:adjustRightInd w:val="0"/>
        <w:snapToGrid w:val="0"/>
        <w:rPr>
          <w:rFonts w:ascii="宋体" w:hAnsi="宋体" w:eastAsia="宋体" w:cs="宋体"/>
          <w:snapToGrid w:val="0"/>
          <w:color w:val="auto"/>
          <w:kern w:val="0"/>
          <w:highlight w:val="none"/>
        </w:rPr>
      </w:pPr>
    </w:p>
    <w:p>
      <w:pPr>
        <w:autoSpaceDE w:val="0"/>
        <w:autoSpaceDN w:val="0"/>
        <w:adjustRightInd w:val="0"/>
        <w:snapToGrid w:val="0"/>
        <w:rPr>
          <w:rFonts w:ascii="宋体" w:hAnsi="宋体" w:eastAsia="宋体" w:cs="宋体"/>
          <w:snapToGrid w:val="0"/>
          <w:color w:val="auto"/>
          <w:kern w:val="0"/>
          <w:highlight w:val="none"/>
        </w:rPr>
      </w:pPr>
    </w:p>
    <w:p>
      <w:pPr>
        <w:tabs>
          <w:tab w:val="left" w:pos="1680"/>
          <w:tab w:val="left" w:pos="4215"/>
          <w:tab w:val="left" w:pos="4305"/>
          <w:tab w:val="left" w:pos="8000"/>
        </w:tabs>
        <w:autoSpaceDE w:val="0"/>
        <w:autoSpaceDN w:val="0"/>
        <w:adjustRightInd w:val="0"/>
        <w:snapToGrid w:val="0"/>
        <w:jc w:val="center"/>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br w:type="page"/>
      </w:r>
      <w:bookmarkStart w:id="405" w:name="_Toc1144_WPSOffice_Level1"/>
      <w:bookmarkStart w:id="406" w:name="_Toc30152_WPSOffice_Level1"/>
      <w:r>
        <w:rPr>
          <w:rFonts w:hint="eastAsia" w:ascii="宋体" w:hAnsi="宋体" w:eastAsia="宋体" w:cs="宋体"/>
          <w:b/>
          <w:snapToGrid w:val="0"/>
          <w:color w:val="auto"/>
          <w:kern w:val="0"/>
          <w:sz w:val="28"/>
          <w:szCs w:val="28"/>
          <w:highlight w:val="none"/>
        </w:rPr>
        <w:t>授权委托书</w:t>
      </w:r>
      <w:bookmarkEnd w:id="405"/>
      <w:bookmarkEnd w:id="406"/>
    </w:p>
    <w:p>
      <w:pPr>
        <w:autoSpaceDE w:val="0"/>
        <w:autoSpaceDN w:val="0"/>
        <w:adjustRightInd w:val="0"/>
        <w:snapToGrid w:val="0"/>
        <w:rPr>
          <w:rFonts w:ascii="宋体" w:hAnsi="宋体" w:eastAsia="宋体" w:cs="宋体"/>
          <w:snapToGrid w:val="0"/>
          <w:color w:val="auto"/>
          <w:kern w:val="0"/>
          <w:sz w:val="20"/>
          <w:szCs w:val="20"/>
          <w:highlight w:val="none"/>
        </w:rPr>
      </w:pPr>
    </w:p>
    <w:p>
      <w:pPr>
        <w:tabs>
          <w:tab w:val="left" w:pos="1680"/>
          <w:tab w:val="left" w:pos="4215"/>
          <w:tab w:val="left" w:pos="4305"/>
          <w:tab w:val="left" w:pos="8000"/>
        </w:tabs>
        <w:autoSpaceDE w:val="0"/>
        <w:autoSpaceDN w:val="0"/>
        <w:adjustRightInd w:val="0"/>
        <w:snapToGrid w:val="0"/>
        <w:ind w:firstLine="42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本人</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（姓名）系</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（投标人名称）的法定代表人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，现委托（姓名）为我方代理人。代理人根据授权，以我方名义签署、澄清、说明、补正、递交、撤回、修改</w:t>
      </w:r>
      <w:r>
        <w:rPr>
          <w:rFonts w:hint="eastAsia" w:ascii="宋体" w:hAnsi="宋体" w:eastAsia="宋体" w:cs="宋体"/>
          <w:snapToGrid w:val="0"/>
          <w:color w:val="auto"/>
          <w:kern w:val="0"/>
          <w:sz w:val="21"/>
          <w:szCs w:val="21"/>
          <w:highlight w:val="none"/>
          <w:u w:val="single"/>
        </w:rPr>
        <w:t xml:space="preserve">（项目名称）      </w:t>
      </w:r>
      <w:r>
        <w:rPr>
          <w:rFonts w:hint="eastAsia" w:ascii="宋体" w:hAnsi="宋体" w:eastAsia="宋体" w:cs="宋体"/>
          <w:snapToGrid w:val="0"/>
          <w:color w:val="auto"/>
          <w:kern w:val="0"/>
          <w:sz w:val="21"/>
          <w:szCs w:val="21"/>
          <w:highlight w:val="none"/>
        </w:rPr>
        <w:t>投标文件、签订合同和处理有关事宜，其法律后果由我方承担。</w:t>
      </w:r>
    </w:p>
    <w:p>
      <w:pPr>
        <w:tabs>
          <w:tab w:val="left" w:pos="1680"/>
          <w:tab w:val="left" w:pos="4215"/>
          <w:tab w:val="left" w:pos="4305"/>
          <w:tab w:val="left" w:pos="8000"/>
        </w:tabs>
        <w:autoSpaceDE w:val="0"/>
        <w:autoSpaceDN w:val="0"/>
        <w:adjustRightInd w:val="0"/>
        <w:snapToGrid w:val="0"/>
        <w:ind w:firstLine="42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委托期限：</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p>
    <w:p>
      <w:pPr>
        <w:tabs>
          <w:tab w:val="left" w:pos="1680"/>
          <w:tab w:val="left" w:pos="4215"/>
          <w:tab w:val="left" w:pos="4305"/>
          <w:tab w:val="left" w:pos="8000"/>
        </w:tabs>
        <w:autoSpaceDE w:val="0"/>
        <w:autoSpaceDN w:val="0"/>
        <w:adjustRightInd w:val="0"/>
        <w:snapToGrid w:val="0"/>
        <w:ind w:firstLine="42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代理人无转委托权。</w:t>
      </w:r>
    </w:p>
    <w:p>
      <w:pPr>
        <w:tabs>
          <w:tab w:val="left" w:pos="4200"/>
          <w:tab w:val="left" w:pos="4620"/>
        </w:tabs>
        <w:autoSpaceDE w:val="0"/>
        <w:autoSpaceDN w:val="0"/>
        <w:adjustRightInd w:val="0"/>
        <w:snapToGrid w:val="0"/>
        <w:ind w:firstLine="1694"/>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（盖单位章）</w:t>
      </w:r>
    </w:p>
    <w:p>
      <w:pPr>
        <w:tabs>
          <w:tab w:val="left" w:pos="6300"/>
        </w:tabs>
        <w:autoSpaceDE w:val="0"/>
        <w:autoSpaceDN w:val="0"/>
        <w:adjustRightInd w:val="0"/>
        <w:snapToGrid w:val="0"/>
        <w:ind w:firstLine="168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（签字）</w:t>
      </w:r>
    </w:p>
    <w:p>
      <w:pPr>
        <w:tabs>
          <w:tab w:val="left" w:pos="5260"/>
        </w:tabs>
        <w:autoSpaceDE w:val="0"/>
        <w:autoSpaceDN w:val="0"/>
        <w:adjustRightInd w:val="0"/>
        <w:snapToGrid w:val="0"/>
        <w:ind w:firstLine="168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身份证号码：</w:t>
      </w:r>
      <w:r>
        <w:rPr>
          <w:rFonts w:hint="eastAsia" w:ascii="宋体" w:hAnsi="宋体" w:eastAsia="宋体" w:cs="宋体"/>
          <w:snapToGrid w:val="0"/>
          <w:color w:val="auto"/>
          <w:kern w:val="0"/>
          <w:sz w:val="21"/>
          <w:szCs w:val="21"/>
          <w:highlight w:val="none"/>
          <w:u w:val="single"/>
        </w:rPr>
        <w:tab/>
      </w:r>
    </w:p>
    <w:p>
      <w:pPr>
        <w:tabs>
          <w:tab w:val="left" w:pos="6720"/>
        </w:tabs>
        <w:autoSpaceDE w:val="0"/>
        <w:autoSpaceDN w:val="0"/>
        <w:adjustRightInd w:val="0"/>
        <w:snapToGrid w:val="0"/>
        <w:ind w:firstLine="168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委托代理人：</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（签字）</w:t>
      </w:r>
    </w:p>
    <w:p>
      <w:pPr>
        <w:tabs>
          <w:tab w:val="left" w:pos="6825"/>
        </w:tabs>
        <w:autoSpaceDE w:val="0"/>
        <w:autoSpaceDN w:val="0"/>
        <w:adjustRightInd w:val="0"/>
        <w:snapToGrid w:val="0"/>
        <w:ind w:firstLine="168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身份证号码：</w:t>
      </w:r>
      <w:r>
        <w:rPr>
          <w:rFonts w:hint="eastAsia" w:ascii="宋体" w:hAnsi="宋体" w:eastAsia="宋体" w:cs="宋体"/>
          <w:snapToGrid w:val="0"/>
          <w:color w:val="auto"/>
          <w:kern w:val="0"/>
          <w:sz w:val="21"/>
          <w:szCs w:val="21"/>
          <w:highlight w:val="none"/>
          <w:u w:val="single"/>
        </w:rPr>
        <w:tab/>
      </w:r>
    </w:p>
    <w:p>
      <w:pPr>
        <w:autoSpaceDE w:val="0"/>
        <w:autoSpaceDN w:val="0"/>
        <w:adjustRightInd w:val="0"/>
        <w:snapToGrid w:val="0"/>
        <w:rPr>
          <w:rFonts w:ascii="宋体" w:hAnsi="宋体" w:eastAsia="宋体" w:cs="宋体"/>
          <w:snapToGrid w:val="0"/>
          <w:color w:val="auto"/>
          <w:kern w:val="0"/>
          <w:highlight w:val="none"/>
        </w:rPr>
      </w:pPr>
      <w:r>
        <w:rPr>
          <w:rFonts w:hint="eastAsia" w:ascii="宋体" w:hAnsi="宋体" w:eastAsia="宋体" w:cs="宋体"/>
          <w:snapToGrid w:val="0"/>
          <w:color w:val="auto"/>
          <w:kern w:val="0"/>
          <w:sz w:val="21"/>
          <w:szCs w:val="21"/>
          <w:highlight w:val="none"/>
        </w:rPr>
        <w:t>（此处粘贴法定代表人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及委托代理人的身份证双面复印件）</w:t>
      </w: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8"/>
          <w:szCs w:val="28"/>
          <w:highlight w:val="none"/>
        </w:rPr>
      </w:pPr>
    </w:p>
    <w:p>
      <w:pPr>
        <w:autoSpaceDE w:val="0"/>
        <w:autoSpaceDN w:val="0"/>
        <w:adjustRightInd w:val="0"/>
        <w:snapToGrid w:val="0"/>
        <w:rPr>
          <w:rFonts w:ascii="宋体" w:hAnsi="宋体" w:eastAsia="宋体" w:cs="宋体"/>
          <w:snapToGrid w:val="0"/>
          <w:color w:val="auto"/>
          <w:kern w:val="0"/>
          <w:sz w:val="28"/>
          <w:szCs w:val="28"/>
          <w:highlight w:val="none"/>
        </w:rPr>
      </w:pPr>
    </w:p>
    <w:p>
      <w:pPr>
        <w:pStyle w:val="29"/>
        <w:rPr>
          <w:rFonts w:ascii="宋体" w:hAnsi="宋体" w:eastAsia="宋体" w:cs="宋体"/>
          <w:snapToGrid w:val="0"/>
          <w:color w:val="auto"/>
          <w:kern w:val="0"/>
          <w:szCs w:val="28"/>
          <w:highlight w:val="none"/>
        </w:rPr>
      </w:pPr>
    </w:p>
    <w:p>
      <w:pPr>
        <w:rPr>
          <w:rFonts w:ascii="宋体" w:hAnsi="宋体" w:eastAsia="宋体" w:cs="宋体"/>
          <w:snapToGrid w:val="0"/>
          <w:color w:val="auto"/>
          <w:kern w:val="0"/>
          <w:sz w:val="28"/>
          <w:szCs w:val="28"/>
          <w:highlight w:val="none"/>
        </w:rPr>
      </w:pPr>
    </w:p>
    <w:p>
      <w:pPr>
        <w:pStyle w:val="29"/>
        <w:rPr>
          <w:rFonts w:ascii="宋体" w:hAnsi="宋体" w:eastAsia="宋体" w:cs="宋体"/>
          <w:color w:val="auto"/>
          <w:highlight w:val="none"/>
        </w:rPr>
      </w:pPr>
    </w:p>
    <w:p>
      <w:pPr>
        <w:tabs>
          <w:tab w:val="left" w:pos="4005"/>
          <w:tab w:val="left" w:pos="4100"/>
          <w:tab w:val="left" w:pos="5040"/>
        </w:tabs>
        <w:autoSpaceDE w:val="0"/>
        <w:autoSpaceDN w:val="0"/>
        <w:adjustRightInd w:val="0"/>
        <w:snapToGrid w:val="0"/>
        <w:ind w:firstLine="378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pPr>
        <w:tabs>
          <w:tab w:val="left" w:pos="4005"/>
          <w:tab w:val="left" w:pos="4100"/>
          <w:tab w:val="left" w:pos="5040"/>
        </w:tabs>
        <w:autoSpaceDE w:val="0"/>
        <w:autoSpaceDN w:val="0"/>
        <w:adjustRightInd w:val="0"/>
        <w:snapToGrid w:val="0"/>
        <w:ind w:firstLine="3780"/>
        <w:rPr>
          <w:rFonts w:ascii="宋体" w:hAnsi="宋体" w:eastAsia="宋体" w:cs="宋体"/>
          <w:snapToGrid w:val="0"/>
          <w:color w:val="auto"/>
          <w:kern w:val="0"/>
          <w:sz w:val="21"/>
          <w:szCs w:val="21"/>
          <w:highlight w:val="none"/>
        </w:rPr>
      </w:pPr>
      <w:r>
        <w:rPr>
          <w:rFonts w:ascii="宋体" w:hAnsi="宋体" w:eastAsia="宋体" w:cs="宋体"/>
          <w:snapToGrid w:val="0"/>
          <w:color w:val="auto"/>
          <w:kern w:val="0"/>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线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VKGgHZAAAACQEAAA8AAAAAAAAAAQAgAAAAIgAAAGRycy9kb3ducmV2LnhtbFBLAQIUABQAAAAI&#10;AIdO4kAW5H6W7AEAAOkDAAAOAAAAAAAAAAEAIAAAACgBAABkcnMvZTJvRG9jLnhtbFBLBQYAAAAA&#10;BgAGAFkBAACGBQ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注：1、法定代表人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参加投标活动并签署文件的不需要授权委托书，只需提供法定代表人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身份证明；非法定代表人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参加投标活动及签署文件的除提供法定代表人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身份证明外还须提供授权委托书。</w:t>
      </w:r>
    </w:p>
    <w:p>
      <w:pPr>
        <w:tabs>
          <w:tab w:val="left" w:pos="5760"/>
        </w:tabs>
        <w:autoSpaceDE w:val="0"/>
        <w:autoSpaceDN w:val="0"/>
        <w:adjustRightInd w:val="0"/>
        <w:spacing w:line="300" w:lineRule="exact"/>
        <w:ind w:left="896" w:leftChars="253" w:right="11" w:hanging="289" w:hangingChars="138"/>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身份证明及授权委托书原件装入投标文件一并递交。另外须准备一份在开标现场出具。</w:t>
      </w:r>
    </w:p>
    <w:p>
      <w:pPr>
        <w:jc w:val="center"/>
        <w:rPr>
          <w:rFonts w:ascii="宋体" w:hAnsi="宋体" w:eastAsia="宋体" w:cs="宋体"/>
          <w:bCs/>
          <w:snapToGrid w:val="0"/>
          <w:color w:val="auto"/>
          <w:kern w:val="0"/>
          <w:highlight w:val="none"/>
        </w:rPr>
      </w:pPr>
      <w:r>
        <w:rPr>
          <w:rFonts w:hint="eastAsia" w:ascii="宋体" w:hAnsi="宋体" w:eastAsia="宋体" w:cs="宋体"/>
          <w:snapToGrid w:val="0"/>
          <w:color w:val="auto"/>
          <w:kern w:val="0"/>
          <w:highlight w:val="none"/>
        </w:rPr>
        <w:br w:type="page"/>
      </w:r>
      <w:bookmarkStart w:id="407" w:name="_Toc277082656"/>
      <w:bookmarkStart w:id="408" w:name="_Toc224103510"/>
      <w:bookmarkStart w:id="409" w:name="_Toc287607882"/>
    </w:p>
    <w:p>
      <w:pPr>
        <w:pStyle w:val="4"/>
        <w:jc w:val="center"/>
        <w:rPr>
          <w:rFonts w:ascii="宋体" w:hAnsi="宋体" w:eastAsia="宋体" w:cs="宋体"/>
          <w:color w:val="auto"/>
          <w:highlight w:val="none"/>
        </w:rPr>
      </w:pPr>
      <w:bookmarkStart w:id="410" w:name="_Toc342252489"/>
      <w:bookmarkStart w:id="411" w:name="_Toc516620669"/>
      <w:bookmarkStart w:id="412" w:name="_Toc342252673"/>
      <w:bookmarkStart w:id="413" w:name="_Toc451732669"/>
      <w:bookmarkStart w:id="414" w:name="_Toc3203"/>
      <w:bookmarkStart w:id="415" w:name="_Toc28412_WPSOffice_Level1"/>
      <w:bookmarkStart w:id="416" w:name="_Toc342906453"/>
      <w:r>
        <w:rPr>
          <w:rFonts w:hint="eastAsia" w:ascii="宋体" w:hAnsi="宋体" w:eastAsia="宋体" w:cs="宋体"/>
          <w:color w:val="auto"/>
          <w:highlight w:val="none"/>
        </w:rPr>
        <w:t>二、资格审查资料</w:t>
      </w:r>
      <w:bookmarkEnd w:id="407"/>
      <w:bookmarkEnd w:id="408"/>
      <w:bookmarkEnd w:id="409"/>
      <w:bookmarkEnd w:id="410"/>
      <w:bookmarkEnd w:id="411"/>
      <w:bookmarkEnd w:id="412"/>
      <w:bookmarkEnd w:id="413"/>
      <w:bookmarkEnd w:id="414"/>
      <w:bookmarkEnd w:id="415"/>
      <w:bookmarkEnd w:id="416"/>
    </w:p>
    <w:p>
      <w:pPr>
        <w:adjustRightInd w:val="0"/>
        <w:snapToGrid w:val="0"/>
        <w:spacing w:line="264" w:lineRule="auto"/>
        <w:rPr>
          <w:rFonts w:ascii="宋体" w:hAnsi="宋体" w:eastAsia="宋体" w:cs="宋体"/>
          <w:snapToGrid w:val="0"/>
          <w:color w:val="auto"/>
          <w:kern w:val="0"/>
          <w:sz w:val="32"/>
          <w:szCs w:val="32"/>
          <w:highlight w:val="none"/>
        </w:rPr>
      </w:pPr>
    </w:p>
    <w:p>
      <w:pPr>
        <w:adjustRightInd w:val="0"/>
        <w:snapToGrid w:val="0"/>
        <w:spacing w:line="264" w:lineRule="auto"/>
        <w:rPr>
          <w:rFonts w:ascii="宋体" w:hAnsi="宋体" w:eastAsia="宋体" w:cs="宋体"/>
          <w:snapToGrid w:val="0"/>
          <w:color w:val="auto"/>
          <w:kern w:val="0"/>
          <w:sz w:val="32"/>
          <w:szCs w:val="32"/>
          <w:highlight w:val="none"/>
        </w:rPr>
      </w:pPr>
    </w:p>
    <w:p>
      <w:pPr>
        <w:rPr>
          <w:rFonts w:ascii="宋体" w:hAnsi="宋体" w:eastAsia="宋体" w:cs="宋体"/>
          <w:snapToGrid w:val="0"/>
          <w:color w:val="auto"/>
          <w:kern w:val="0"/>
          <w:sz w:val="32"/>
          <w:szCs w:val="32"/>
          <w:highlight w:val="none"/>
        </w:rPr>
      </w:pPr>
    </w:p>
    <w:p>
      <w:pPr>
        <w:rPr>
          <w:rFonts w:ascii="宋体" w:hAnsi="宋体" w:eastAsia="宋体" w:cs="宋体"/>
          <w:snapToGrid w:val="0"/>
          <w:color w:val="auto"/>
          <w:kern w:val="0"/>
          <w:sz w:val="32"/>
          <w:szCs w:val="32"/>
          <w:highlight w:val="none"/>
        </w:rPr>
      </w:pPr>
    </w:p>
    <w:p>
      <w:pPr>
        <w:rPr>
          <w:rFonts w:ascii="宋体" w:hAnsi="宋体" w:eastAsia="宋体" w:cs="宋体"/>
          <w:snapToGrid w:val="0"/>
          <w:color w:val="auto"/>
          <w:kern w:val="0"/>
          <w:sz w:val="32"/>
          <w:szCs w:val="32"/>
          <w:highlight w:val="none"/>
        </w:rPr>
      </w:pPr>
    </w:p>
    <w:p>
      <w:pPr>
        <w:rPr>
          <w:rFonts w:ascii="宋体" w:hAnsi="宋体" w:eastAsia="宋体" w:cs="宋体"/>
          <w:snapToGrid w:val="0"/>
          <w:color w:val="auto"/>
          <w:kern w:val="0"/>
          <w:sz w:val="32"/>
          <w:szCs w:val="32"/>
          <w:highlight w:val="none"/>
        </w:rPr>
      </w:pPr>
    </w:p>
    <w:p>
      <w:pPr>
        <w:rPr>
          <w:rFonts w:ascii="宋体" w:hAnsi="宋体" w:eastAsia="宋体" w:cs="宋体"/>
          <w:snapToGrid w:val="0"/>
          <w:color w:val="auto"/>
          <w:kern w:val="0"/>
          <w:sz w:val="32"/>
          <w:szCs w:val="32"/>
          <w:highlight w:val="none"/>
        </w:rPr>
      </w:pPr>
    </w:p>
    <w:p>
      <w:pPr>
        <w:rPr>
          <w:rFonts w:ascii="宋体" w:hAnsi="宋体" w:eastAsia="宋体" w:cs="宋体"/>
          <w:snapToGrid w:val="0"/>
          <w:color w:val="auto"/>
          <w:kern w:val="0"/>
          <w:sz w:val="32"/>
          <w:szCs w:val="32"/>
          <w:highlight w:val="none"/>
        </w:rPr>
      </w:pPr>
    </w:p>
    <w:p>
      <w:pPr>
        <w:rPr>
          <w:rFonts w:ascii="宋体" w:hAnsi="宋体" w:eastAsia="宋体" w:cs="宋体"/>
          <w:snapToGrid w:val="0"/>
          <w:color w:val="auto"/>
          <w:kern w:val="0"/>
          <w:sz w:val="32"/>
          <w:szCs w:val="32"/>
          <w:highlight w:val="none"/>
        </w:rPr>
      </w:pPr>
    </w:p>
    <w:p>
      <w:pPr>
        <w:rPr>
          <w:rFonts w:ascii="宋体" w:hAnsi="宋体" w:eastAsia="宋体" w:cs="宋体"/>
          <w:snapToGrid w:val="0"/>
          <w:color w:val="auto"/>
          <w:kern w:val="0"/>
          <w:sz w:val="32"/>
          <w:szCs w:val="32"/>
          <w:highlight w:val="none"/>
        </w:rPr>
      </w:pPr>
    </w:p>
    <w:p>
      <w:pPr>
        <w:rPr>
          <w:rFonts w:ascii="宋体" w:hAnsi="宋体" w:eastAsia="宋体" w:cs="宋体"/>
          <w:snapToGrid w:val="0"/>
          <w:color w:val="auto"/>
          <w:kern w:val="0"/>
          <w:sz w:val="32"/>
          <w:szCs w:val="32"/>
          <w:highlight w:val="none"/>
        </w:rPr>
      </w:pPr>
    </w:p>
    <w:p>
      <w:pPr>
        <w:rPr>
          <w:rFonts w:ascii="宋体" w:hAnsi="宋体" w:eastAsia="宋体" w:cs="宋体"/>
          <w:snapToGrid w:val="0"/>
          <w:color w:val="auto"/>
          <w:kern w:val="0"/>
          <w:sz w:val="32"/>
          <w:szCs w:val="32"/>
          <w:highlight w:val="none"/>
        </w:rPr>
      </w:pPr>
    </w:p>
    <w:p>
      <w:pPr>
        <w:rPr>
          <w:rFonts w:ascii="宋体" w:hAnsi="宋体" w:eastAsia="宋体" w:cs="宋体"/>
          <w:snapToGrid w:val="0"/>
          <w:color w:val="auto"/>
          <w:kern w:val="0"/>
          <w:sz w:val="32"/>
          <w:szCs w:val="32"/>
          <w:highlight w:val="none"/>
        </w:rPr>
      </w:pPr>
    </w:p>
    <w:p>
      <w:pPr>
        <w:rPr>
          <w:rFonts w:ascii="宋体" w:hAnsi="宋体" w:eastAsia="宋体" w:cs="宋体"/>
          <w:snapToGrid w:val="0"/>
          <w:color w:val="auto"/>
          <w:kern w:val="0"/>
          <w:sz w:val="32"/>
          <w:szCs w:val="32"/>
          <w:highlight w:val="none"/>
        </w:rPr>
      </w:pPr>
    </w:p>
    <w:p>
      <w:pPr>
        <w:rPr>
          <w:rFonts w:ascii="宋体" w:hAnsi="宋体" w:eastAsia="宋体" w:cs="宋体"/>
          <w:snapToGrid w:val="0"/>
          <w:color w:val="auto"/>
          <w:kern w:val="0"/>
          <w:sz w:val="32"/>
          <w:szCs w:val="32"/>
          <w:highlight w:val="none"/>
        </w:rPr>
      </w:pPr>
    </w:p>
    <w:p>
      <w:pPr>
        <w:rPr>
          <w:rFonts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br w:type="page"/>
      </w:r>
    </w:p>
    <w:p>
      <w:pPr>
        <w:tabs>
          <w:tab w:val="left" w:pos="5825"/>
          <w:tab w:val="left" w:pos="5940"/>
        </w:tabs>
        <w:autoSpaceDE w:val="0"/>
        <w:autoSpaceDN w:val="0"/>
        <w:adjustRightInd w:val="0"/>
        <w:snapToGrid w:val="0"/>
        <w:rPr>
          <w:rFonts w:ascii="宋体" w:hAnsi="宋体" w:eastAsia="宋体" w:cs="宋体"/>
          <w:b/>
          <w:snapToGrid w:val="0"/>
          <w:color w:val="auto"/>
          <w:kern w:val="0"/>
          <w:sz w:val="28"/>
          <w:szCs w:val="28"/>
          <w:highlight w:val="none"/>
          <w:u w:val="single"/>
        </w:rPr>
      </w:pPr>
      <w:r>
        <w:rPr>
          <w:rFonts w:hint="eastAsia" w:ascii="宋体" w:hAnsi="宋体" w:eastAsia="宋体" w:cs="宋体"/>
          <w:b/>
          <w:snapToGrid w:val="0"/>
          <w:color w:val="auto"/>
          <w:kern w:val="0"/>
          <w:sz w:val="28"/>
          <w:szCs w:val="28"/>
          <w:highlight w:val="none"/>
          <w:u w:val="single"/>
        </w:rPr>
        <w:t xml:space="preserve">                                                   </w:t>
      </w:r>
      <w:bookmarkStart w:id="417" w:name="_Toc522_WPSOffice_Level2"/>
      <w:bookmarkStart w:id="418" w:name="_Toc22579_WPSOffice_Level2"/>
      <w:r>
        <w:rPr>
          <w:rFonts w:hint="eastAsia" w:ascii="宋体" w:hAnsi="宋体" w:eastAsia="宋体" w:cs="宋体"/>
          <w:b/>
          <w:snapToGrid w:val="0"/>
          <w:color w:val="auto"/>
          <w:kern w:val="0"/>
          <w:sz w:val="28"/>
          <w:szCs w:val="28"/>
          <w:highlight w:val="none"/>
          <w:u w:val="single"/>
        </w:rPr>
        <w:t>（项目名称）</w:t>
      </w:r>
      <w:bookmarkEnd w:id="417"/>
      <w:bookmarkEnd w:id="418"/>
    </w:p>
    <w:p>
      <w:pPr>
        <w:tabs>
          <w:tab w:val="left" w:pos="5825"/>
          <w:tab w:val="left" w:pos="5940"/>
        </w:tabs>
        <w:autoSpaceDE w:val="0"/>
        <w:autoSpaceDN w:val="0"/>
        <w:adjustRightInd w:val="0"/>
        <w:snapToGrid w:val="0"/>
        <w:jc w:val="center"/>
        <w:rPr>
          <w:rFonts w:ascii="宋体" w:hAnsi="宋体" w:eastAsia="宋体" w:cs="宋体"/>
          <w:b/>
          <w:snapToGrid w:val="0"/>
          <w:color w:val="auto"/>
          <w:kern w:val="0"/>
          <w:sz w:val="28"/>
          <w:szCs w:val="28"/>
          <w:highlight w:val="none"/>
          <w:u w:val="single"/>
        </w:rPr>
      </w:pPr>
    </w:p>
    <w:p>
      <w:pPr>
        <w:tabs>
          <w:tab w:val="left" w:pos="2845"/>
          <w:tab w:val="left" w:pos="5940"/>
        </w:tabs>
        <w:autoSpaceDE w:val="0"/>
        <w:autoSpaceDN w:val="0"/>
        <w:adjustRightInd w:val="0"/>
        <w:snapToGrid w:val="0"/>
        <w:jc w:val="center"/>
        <w:rPr>
          <w:rFonts w:ascii="宋体" w:hAnsi="宋体" w:eastAsia="宋体" w:cs="宋体"/>
          <w:b/>
          <w:snapToGrid w:val="0"/>
          <w:color w:val="auto"/>
          <w:kern w:val="0"/>
          <w:sz w:val="28"/>
          <w:szCs w:val="28"/>
          <w:highlight w:val="none"/>
        </w:rPr>
      </w:pPr>
    </w:p>
    <w:p>
      <w:pPr>
        <w:tabs>
          <w:tab w:val="left" w:pos="3600"/>
          <w:tab w:val="left" w:pos="4480"/>
          <w:tab w:val="left" w:pos="5360"/>
        </w:tabs>
        <w:autoSpaceDE w:val="0"/>
        <w:autoSpaceDN w:val="0"/>
        <w:adjustRightInd w:val="0"/>
        <w:snapToGrid w:val="0"/>
        <w:rPr>
          <w:rFonts w:ascii="宋体" w:hAnsi="宋体" w:eastAsia="宋体" w:cs="宋体"/>
          <w:snapToGrid w:val="0"/>
          <w:color w:val="auto"/>
          <w:kern w:val="0"/>
          <w:sz w:val="44"/>
          <w:szCs w:val="44"/>
          <w:highlight w:val="none"/>
        </w:rPr>
      </w:pPr>
    </w:p>
    <w:p>
      <w:pPr>
        <w:tabs>
          <w:tab w:val="left" w:pos="3600"/>
          <w:tab w:val="left" w:pos="4480"/>
          <w:tab w:val="left" w:pos="5360"/>
        </w:tabs>
        <w:autoSpaceDE w:val="0"/>
        <w:autoSpaceDN w:val="0"/>
        <w:adjustRightInd w:val="0"/>
        <w:snapToGrid w:val="0"/>
        <w:rPr>
          <w:rFonts w:ascii="宋体" w:hAnsi="宋体" w:eastAsia="宋体" w:cs="宋体"/>
          <w:snapToGrid w:val="0"/>
          <w:color w:val="auto"/>
          <w:kern w:val="0"/>
          <w:sz w:val="44"/>
          <w:szCs w:val="44"/>
          <w:highlight w:val="none"/>
        </w:rPr>
      </w:pPr>
    </w:p>
    <w:p>
      <w:pPr>
        <w:tabs>
          <w:tab w:val="left" w:pos="3600"/>
          <w:tab w:val="left" w:pos="4480"/>
          <w:tab w:val="left" w:pos="5360"/>
        </w:tabs>
        <w:autoSpaceDE w:val="0"/>
        <w:autoSpaceDN w:val="0"/>
        <w:adjustRightInd w:val="0"/>
        <w:snapToGrid w:val="0"/>
        <w:jc w:val="center"/>
        <w:rPr>
          <w:rFonts w:ascii="宋体" w:hAnsi="宋体" w:eastAsia="宋体" w:cs="宋体"/>
          <w:b/>
          <w:snapToGrid w:val="0"/>
          <w:color w:val="auto"/>
          <w:kern w:val="0"/>
          <w:sz w:val="84"/>
          <w:szCs w:val="84"/>
          <w:highlight w:val="none"/>
        </w:rPr>
      </w:pPr>
      <w:bookmarkStart w:id="419" w:name="_Toc10727_WPSOffice_Level3"/>
      <w:bookmarkStart w:id="420" w:name="_Toc24556_WPSOffice_Level3"/>
      <w:r>
        <w:rPr>
          <w:rFonts w:hint="eastAsia" w:ascii="宋体" w:hAnsi="宋体" w:eastAsia="宋体" w:cs="宋体"/>
          <w:b/>
          <w:snapToGrid w:val="0"/>
          <w:color w:val="auto"/>
          <w:kern w:val="0"/>
          <w:sz w:val="84"/>
          <w:szCs w:val="84"/>
          <w:highlight w:val="none"/>
        </w:rPr>
        <w:t>投标文件</w:t>
      </w:r>
      <w:bookmarkEnd w:id="419"/>
      <w:bookmarkEnd w:id="420"/>
    </w:p>
    <w:p>
      <w:pPr>
        <w:autoSpaceDE w:val="0"/>
        <w:autoSpaceDN w:val="0"/>
        <w:adjustRightInd w:val="0"/>
        <w:snapToGrid w:val="0"/>
        <w:rPr>
          <w:rFonts w:ascii="宋体" w:hAnsi="宋体" w:eastAsia="宋体" w:cs="宋体"/>
          <w:snapToGrid w:val="0"/>
          <w:color w:val="auto"/>
          <w:kern w:val="0"/>
          <w:sz w:val="16"/>
          <w:szCs w:val="16"/>
          <w:highlight w:val="none"/>
        </w:rPr>
      </w:pPr>
    </w:p>
    <w:p>
      <w:pPr>
        <w:autoSpaceDE w:val="0"/>
        <w:autoSpaceDN w:val="0"/>
        <w:adjustRightInd w:val="0"/>
        <w:snapToGrid w:val="0"/>
        <w:jc w:val="center"/>
        <w:rPr>
          <w:rFonts w:ascii="宋体" w:hAnsi="宋体" w:eastAsia="宋体" w:cs="宋体"/>
          <w:b/>
          <w:snapToGrid w:val="0"/>
          <w:color w:val="auto"/>
          <w:kern w:val="0"/>
          <w:sz w:val="36"/>
          <w:szCs w:val="36"/>
          <w:highlight w:val="none"/>
        </w:rPr>
      </w:pPr>
      <w:bookmarkStart w:id="421" w:name="_Toc153_WPSOffice_Level3"/>
      <w:bookmarkStart w:id="422" w:name="_Toc28668_WPSOffice_Level2"/>
      <w:r>
        <w:rPr>
          <w:rFonts w:hint="eastAsia" w:ascii="宋体" w:hAnsi="宋体" w:eastAsia="宋体" w:cs="宋体"/>
          <w:b/>
          <w:snapToGrid w:val="0"/>
          <w:color w:val="auto"/>
          <w:kern w:val="0"/>
          <w:sz w:val="36"/>
          <w:szCs w:val="36"/>
          <w:highlight w:val="none"/>
        </w:rPr>
        <w:t>资格审查资料</w:t>
      </w:r>
      <w:bookmarkEnd w:id="421"/>
      <w:bookmarkEnd w:id="422"/>
    </w:p>
    <w:p>
      <w:pPr>
        <w:autoSpaceDE w:val="0"/>
        <w:autoSpaceDN w:val="0"/>
        <w:adjustRightInd w:val="0"/>
        <w:snapToGrid w:val="0"/>
        <w:rPr>
          <w:rFonts w:ascii="宋体" w:hAnsi="宋体" w:eastAsia="宋体" w:cs="宋体"/>
          <w:snapToGrid w:val="0"/>
          <w:color w:val="auto"/>
          <w:kern w:val="0"/>
          <w:sz w:val="20"/>
          <w:szCs w:val="20"/>
          <w:highlight w:val="none"/>
        </w:rPr>
      </w:pPr>
    </w:p>
    <w:p>
      <w:pPr>
        <w:adjustRightInd w:val="0"/>
        <w:snapToGrid w:val="0"/>
        <w:spacing w:line="264" w:lineRule="auto"/>
        <w:ind w:firstLine="720" w:firstLineChars="300"/>
        <w:rPr>
          <w:rFonts w:ascii="宋体" w:hAnsi="宋体" w:eastAsia="宋体" w:cs="宋体"/>
          <w:snapToGrid w:val="0"/>
          <w:color w:val="auto"/>
          <w:kern w:val="0"/>
          <w:szCs w:val="21"/>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tabs>
          <w:tab w:val="left" w:pos="6080"/>
          <w:tab w:val="left" w:pos="6640"/>
        </w:tabs>
        <w:autoSpaceDE w:val="0"/>
        <w:autoSpaceDN w:val="0"/>
        <w:adjustRightInd w:val="0"/>
        <w:snapToGrid w:val="0"/>
        <w:jc w:val="center"/>
        <w:rPr>
          <w:rFonts w:ascii="宋体" w:hAnsi="宋体" w:eastAsia="宋体" w:cs="宋体"/>
          <w:b/>
          <w:snapToGrid w:val="0"/>
          <w:color w:val="auto"/>
          <w:w w:val="99"/>
          <w:kern w:val="0"/>
          <w:sz w:val="28"/>
          <w:szCs w:val="28"/>
          <w:highlight w:val="none"/>
        </w:rPr>
      </w:pPr>
      <w:bookmarkStart w:id="423" w:name="_Toc14887_WPSOffice_Level3"/>
      <w:r>
        <w:rPr>
          <w:rFonts w:hint="eastAsia" w:ascii="宋体" w:hAnsi="宋体" w:eastAsia="宋体" w:cs="宋体"/>
          <w:b/>
          <w:snapToGrid w:val="0"/>
          <w:color w:val="auto"/>
          <w:w w:val="99"/>
          <w:kern w:val="0"/>
          <w:sz w:val="28"/>
          <w:szCs w:val="28"/>
          <w:highlight w:val="none"/>
        </w:rPr>
        <w:t>投标人：</w:t>
      </w:r>
      <w:r>
        <w:rPr>
          <w:rFonts w:hint="eastAsia" w:ascii="宋体" w:hAnsi="宋体" w:eastAsia="宋体" w:cs="宋体"/>
          <w:b/>
          <w:snapToGrid w:val="0"/>
          <w:color w:val="auto"/>
          <w:w w:val="198"/>
          <w:kern w:val="0"/>
          <w:sz w:val="28"/>
          <w:szCs w:val="28"/>
          <w:highlight w:val="none"/>
          <w:u w:val="single"/>
        </w:rPr>
        <w:t>　　　　　　</w:t>
      </w:r>
      <w:r>
        <w:rPr>
          <w:rFonts w:hint="eastAsia" w:ascii="宋体" w:hAnsi="宋体" w:eastAsia="宋体" w:cs="宋体"/>
          <w:b/>
          <w:snapToGrid w:val="0"/>
          <w:color w:val="auto"/>
          <w:w w:val="99"/>
          <w:kern w:val="0"/>
          <w:sz w:val="28"/>
          <w:szCs w:val="28"/>
          <w:highlight w:val="none"/>
        </w:rPr>
        <w:t>（盖单位章）</w:t>
      </w:r>
      <w:bookmarkEnd w:id="423"/>
    </w:p>
    <w:p>
      <w:pPr>
        <w:tabs>
          <w:tab w:val="left" w:pos="6080"/>
          <w:tab w:val="left" w:pos="6640"/>
        </w:tabs>
        <w:autoSpaceDE w:val="0"/>
        <w:autoSpaceDN w:val="0"/>
        <w:adjustRightInd w:val="0"/>
        <w:snapToGrid w:val="0"/>
        <w:jc w:val="center"/>
        <w:rPr>
          <w:rFonts w:ascii="宋体" w:hAnsi="宋体" w:eastAsia="宋体" w:cs="宋体"/>
          <w:b/>
          <w:snapToGrid w:val="0"/>
          <w:color w:val="auto"/>
          <w:kern w:val="0"/>
          <w:sz w:val="28"/>
          <w:szCs w:val="28"/>
          <w:highlight w:val="none"/>
        </w:rPr>
      </w:pPr>
      <w:bookmarkStart w:id="424" w:name="_Toc19397_WPSOffice_Level3"/>
      <w:r>
        <w:rPr>
          <w:rFonts w:hint="eastAsia" w:ascii="宋体" w:hAnsi="宋体" w:eastAsia="宋体" w:cs="宋体"/>
          <w:b/>
          <w:snapToGrid w:val="0"/>
          <w:color w:val="auto"/>
          <w:w w:val="99"/>
          <w:kern w:val="0"/>
          <w:sz w:val="28"/>
          <w:szCs w:val="28"/>
          <w:highlight w:val="none"/>
        </w:rPr>
        <w:t>法定代表人</w:t>
      </w:r>
      <w:r>
        <w:rPr>
          <w:rFonts w:hint="eastAsia" w:ascii="宋体" w:hAnsi="宋体" w:eastAsia="宋体" w:cs="宋体"/>
          <w:b/>
          <w:snapToGrid w:val="0"/>
          <w:color w:val="auto"/>
          <w:w w:val="99"/>
          <w:kern w:val="0"/>
          <w:sz w:val="28"/>
          <w:szCs w:val="28"/>
          <w:highlight w:val="none"/>
          <w:lang w:eastAsia="zh-CN"/>
        </w:rPr>
        <w:t>（单位负责人）</w:t>
      </w:r>
      <w:r>
        <w:rPr>
          <w:rFonts w:hint="eastAsia" w:ascii="宋体" w:hAnsi="宋体" w:eastAsia="宋体" w:cs="宋体"/>
          <w:b/>
          <w:snapToGrid w:val="0"/>
          <w:color w:val="auto"/>
          <w:w w:val="99"/>
          <w:kern w:val="0"/>
          <w:sz w:val="28"/>
          <w:szCs w:val="28"/>
          <w:highlight w:val="none"/>
        </w:rPr>
        <w:t>或其委托代理人：</w:t>
      </w:r>
      <w:r>
        <w:rPr>
          <w:rFonts w:hint="eastAsia" w:ascii="宋体" w:hAnsi="宋体" w:eastAsia="宋体" w:cs="宋体"/>
          <w:b/>
          <w:snapToGrid w:val="0"/>
          <w:color w:val="auto"/>
          <w:w w:val="198"/>
          <w:kern w:val="0"/>
          <w:sz w:val="28"/>
          <w:szCs w:val="28"/>
          <w:highlight w:val="none"/>
          <w:u w:val="single"/>
        </w:rPr>
        <w:t>　　　</w:t>
      </w:r>
      <w:r>
        <w:rPr>
          <w:rFonts w:hint="eastAsia" w:ascii="宋体" w:hAnsi="宋体" w:eastAsia="宋体" w:cs="宋体"/>
          <w:b/>
          <w:snapToGrid w:val="0"/>
          <w:color w:val="auto"/>
          <w:w w:val="99"/>
          <w:kern w:val="0"/>
          <w:sz w:val="28"/>
          <w:szCs w:val="28"/>
          <w:highlight w:val="none"/>
        </w:rPr>
        <w:t>（签字）</w:t>
      </w:r>
      <w:bookmarkEnd w:id="424"/>
    </w:p>
    <w:p>
      <w:pPr>
        <w:jc w:val="center"/>
        <w:rPr>
          <w:rFonts w:ascii="宋体" w:hAnsi="宋体" w:eastAsia="宋体" w:cs="宋体"/>
          <w:snapToGrid w:val="0"/>
          <w:color w:val="auto"/>
          <w:kern w:val="0"/>
          <w:szCs w:val="21"/>
          <w:highlight w:val="none"/>
        </w:rPr>
      </w:pPr>
      <w:bookmarkStart w:id="425" w:name="_Toc15468_WPSOffice_Level3"/>
      <w:r>
        <w:rPr>
          <w:rFonts w:hint="eastAsia" w:ascii="宋体" w:hAnsi="宋体" w:eastAsia="宋体" w:cs="宋体"/>
          <w:b/>
          <w:snapToGrid w:val="0"/>
          <w:color w:val="auto"/>
          <w:w w:val="99"/>
          <w:kern w:val="0"/>
          <w:sz w:val="28"/>
          <w:szCs w:val="28"/>
          <w:highlight w:val="none"/>
        </w:rPr>
        <w:t>年    月    日</w:t>
      </w:r>
      <w:bookmarkEnd w:id="425"/>
      <w:r>
        <w:rPr>
          <w:rFonts w:hint="eastAsia" w:ascii="宋体" w:hAnsi="宋体" w:eastAsia="宋体" w:cs="宋体"/>
          <w:snapToGrid w:val="0"/>
          <w:color w:val="auto"/>
          <w:kern w:val="0"/>
          <w:szCs w:val="21"/>
          <w:highlight w:val="none"/>
        </w:rPr>
        <w:br w:type="page"/>
      </w:r>
    </w:p>
    <w:p>
      <w:pPr>
        <w:jc w:val="center"/>
        <w:rPr>
          <w:rFonts w:ascii="宋体" w:hAnsi="宋体" w:eastAsia="宋体" w:cs="宋体"/>
          <w:snapToGrid w:val="0"/>
          <w:color w:val="auto"/>
          <w:kern w:val="0"/>
          <w:szCs w:val="21"/>
          <w:highlight w:val="none"/>
        </w:rPr>
      </w:pPr>
    </w:p>
    <w:p>
      <w:pPr>
        <w:jc w:val="center"/>
        <w:rPr>
          <w:rFonts w:ascii="宋体" w:hAnsi="宋体" w:eastAsia="宋体" w:cs="宋体"/>
          <w:b/>
          <w:snapToGrid w:val="0"/>
          <w:color w:val="auto"/>
          <w:kern w:val="0"/>
          <w:sz w:val="32"/>
          <w:szCs w:val="32"/>
          <w:highlight w:val="none"/>
        </w:rPr>
      </w:pPr>
      <w:bookmarkStart w:id="426" w:name="_Toc16216_WPSOffice_Level1"/>
      <w:bookmarkStart w:id="427" w:name="_Toc11379_WPSOffice_Level2"/>
      <w:r>
        <w:rPr>
          <w:rFonts w:hint="eastAsia" w:ascii="宋体" w:hAnsi="宋体" w:eastAsia="宋体" w:cs="宋体"/>
          <w:b/>
          <w:snapToGrid w:val="0"/>
          <w:color w:val="auto"/>
          <w:kern w:val="0"/>
          <w:sz w:val="32"/>
          <w:szCs w:val="32"/>
          <w:highlight w:val="none"/>
        </w:rPr>
        <w:t>目  录</w:t>
      </w:r>
      <w:bookmarkEnd w:id="426"/>
      <w:bookmarkEnd w:id="427"/>
    </w:p>
    <w:p>
      <w:pPr>
        <w:jc w:val="center"/>
        <w:rPr>
          <w:rFonts w:ascii="宋体" w:hAnsi="宋体" w:eastAsia="宋体" w:cs="宋体"/>
          <w:b/>
          <w:snapToGrid w:val="0"/>
          <w:color w:val="auto"/>
          <w:kern w:val="0"/>
          <w:sz w:val="21"/>
          <w:szCs w:val="21"/>
          <w:highlight w:val="none"/>
        </w:rPr>
      </w:pPr>
    </w:p>
    <w:p>
      <w:pPr>
        <w:autoSpaceDE w:val="0"/>
        <w:autoSpaceDN w:val="0"/>
        <w:adjustRightInd w:val="0"/>
        <w:ind w:right="-20"/>
        <w:rPr>
          <w:rFonts w:ascii="宋体" w:hAnsi="宋体" w:eastAsia="宋体" w:cs="宋体"/>
          <w:snapToGrid w:val="0"/>
          <w:color w:val="auto"/>
          <w:kern w:val="0"/>
          <w:sz w:val="21"/>
          <w:szCs w:val="21"/>
          <w:highlight w:val="none"/>
        </w:rPr>
      </w:pPr>
      <w:bookmarkStart w:id="428" w:name="_Toc19668_WPSOffice_Level3"/>
      <w:bookmarkStart w:id="429" w:name="_Toc6619_WPSOffice_Level1"/>
      <w:r>
        <w:rPr>
          <w:rFonts w:hint="eastAsia" w:ascii="宋体" w:hAnsi="宋体" w:eastAsia="宋体" w:cs="宋体"/>
          <w:snapToGrid w:val="0"/>
          <w:color w:val="auto"/>
          <w:kern w:val="0"/>
          <w:sz w:val="21"/>
          <w:szCs w:val="21"/>
          <w:highlight w:val="none"/>
        </w:rPr>
        <w:t>（一）法定代表人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身份证明及授权委托书</w:t>
      </w:r>
      <w:bookmarkEnd w:id="428"/>
      <w:bookmarkEnd w:id="429"/>
    </w:p>
    <w:p>
      <w:pPr>
        <w:autoSpaceDE w:val="0"/>
        <w:autoSpaceDN w:val="0"/>
        <w:adjustRightInd w:val="0"/>
        <w:ind w:right="-20"/>
        <w:rPr>
          <w:rFonts w:ascii="宋体" w:hAnsi="宋体" w:eastAsia="宋体" w:cs="宋体"/>
          <w:snapToGrid w:val="0"/>
          <w:color w:val="auto"/>
          <w:kern w:val="0"/>
          <w:sz w:val="21"/>
          <w:szCs w:val="21"/>
          <w:highlight w:val="none"/>
        </w:rPr>
      </w:pPr>
      <w:bookmarkStart w:id="430" w:name="_Toc14172_WPSOffice_Level3"/>
      <w:bookmarkStart w:id="431" w:name="_Toc26893_WPSOffice_Level1"/>
      <w:r>
        <w:rPr>
          <w:rFonts w:hint="eastAsia" w:ascii="宋体" w:hAnsi="宋体" w:eastAsia="宋体" w:cs="宋体"/>
          <w:snapToGrid w:val="0"/>
          <w:color w:val="auto"/>
          <w:kern w:val="0"/>
          <w:sz w:val="21"/>
          <w:szCs w:val="21"/>
          <w:highlight w:val="none"/>
        </w:rPr>
        <w:t>（二）投标人基本情况表</w:t>
      </w:r>
      <w:bookmarkEnd w:id="430"/>
      <w:bookmarkEnd w:id="431"/>
    </w:p>
    <w:p>
      <w:pPr>
        <w:autoSpaceDE w:val="0"/>
        <w:autoSpaceDN w:val="0"/>
        <w:adjustRightInd w:val="0"/>
        <w:ind w:right="-20"/>
        <w:rPr>
          <w:rFonts w:ascii="宋体" w:hAnsi="宋体" w:eastAsia="宋体" w:cs="宋体"/>
          <w:snapToGrid w:val="0"/>
          <w:color w:val="auto"/>
          <w:kern w:val="0"/>
          <w:sz w:val="21"/>
          <w:szCs w:val="21"/>
          <w:highlight w:val="none"/>
        </w:rPr>
      </w:pPr>
      <w:bookmarkStart w:id="432" w:name="_Toc10138_WPSOffice_Level1"/>
      <w:bookmarkStart w:id="433" w:name="_Toc2440_WPSOffice_Level3"/>
      <w:r>
        <w:rPr>
          <w:rFonts w:hint="eastAsia" w:ascii="宋体" w:hAnsi="宋体" w:eastAsia="宋体" w:cs="宋体"/>
          <w:snapToGrid w:val="0"/>
          <w:color w:val="auto"/>
          <w:kern w:val="0"/>
          <w:sz w:val="21"/>
          <w:szCs w:val="21"/>
          <w:highlight w:val="none"/>
        </w:rPr>
        <w:t>（三）营业执照</w:t>
      </w:r>
      <w:bookmarkEnd w:id="432"/>
      <w:bookmarkEnd w:id="433"/>
    </w:p>
    <w:p>
      <w:pPr>
        <w:autoSpaceDE w:val="0"/>
        <w:autoSpaceDN w:val="0"/>
        <w:adjustRightInd w:val="0"/>
        <w:ind w:right="-20"/>
        <w:rPr>
          <w:rFonts w:ascii="宋体" w:hAnsi="宋体" w:eastAsia="宋体" w:cs="宋体"/>
          <w:snapToGrid w:val="0"/>
          <w:color w:val="auto"/>
          <w:kern w:val="0"/>
          <w:sz w:val="21"/>
          <w:szCs w:val="21"/>
          <w:highlight w:val="none"/>
        </w:rPr>
      </w:pPr>
      <w:bookmarkStart w:id="434" w:name="_Toc8040_WPSOffice_Level3"/>
      <w:bookmarkStart w:id="435" w:name="_Toc23734_WPSOffice_Level1"/>
      <w:r>
        <w:rPr>
          <w:rFonts w:hint="eastAsia" w:ascii="宋体" w:hAnsi="宋体" w:eastAsia="宋体" w:cs="宋体"/>
          <w:snapToGrid w:val="0"/>
          <w:color w:val="auto"/>
          <w:kern w:val="0"/>
          <w:sz w:val="21"/>
          <w:szCs w:val="21"/>
          <w:highlight w:val="none"/>
        </w:rPr>
        <w:t>（四）业绩要求</w:t>
      </w:r>
    </w:p>
    <w:p>
      <w:pPr>
        <w:autoSpaceDE w:val="0"/>
        <w:autoSpaceDN w:val="0"/>
        <w:adjustRightInd w:val="0"/>
        <w:ind w:right="-2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（五）投标保证金</w:t>
      </w:r>
      <w:bookmarkEnd w:id="434"/>
      <w:bookmarkEnd w:id="435"/>
    </w:p>
    <w:p>
      <w:pPr>
        <w:autoSpaceDE w:val="0"/>
        <w:autoSpaceDN w:val="0"/>
        <w:adjustRightInd w:val="0"/>
        <w:ind w:right="-20"/>
        <w:rPr>
          <w:rFonts w:ascii="宋体" w:hAnsi="宋体" w:eastAsia="宋体" w:cs="宋体"/>
          <w:snapToGrid w:val="0"/>
          <w:color w:val="auto"/>
          <w:kern w:val="0"/>
          <w:sz w:val="21"/>
          <w:szCs w:val="21"/>
          <w:highlight w:val="none"/>
        </w:rPr>
      </w:pPr>
      <w:bookmarkStart w:id="436" w:name="_Toc7493_WPSOffice_Level1"/>
      <w:bookmarkStart w:id="437" w:name="_Toc17637_WPSOffice_Level3"/>
      <w:r>
        <w:rPr>
          <w:rFonts w:hint="eastAsia" w:ascii="宋体" w:hAnsi="宋体" w:eastAsia="宋体" w:cs="宋体"/>
          <w:snapToGrid w:val="0"/>
          <w:color w:val="auto"/>
          <w:kern w:val="0"/>
          <w:sz w:val="21"/>
          <w:szCs w:val="21"/>
          <w:highlight w:val="none"/>
        </w:rPr>
        <w:t>（六）其他资料</w:t>
      </w:r>
      <w:bookmarkEnd w:id="436"/>
      <w:bookmarkEnd w:id="437"/>
    </w:p>
    <w:p>
      <w:pPr>
        <w:ind w:firstLine="869" w:firstLineChars="414"/>
        <w:rPr>
          <w:rFonts w:ascii="宋体" w:hAnsi="宋体" w:eastAsia="宋体" w:cs="宋体"/>
          <w:snapToGrid w:val="0"/>
          <w:color w:val="auto"/>
          <w:kern w:val="0"/>
          <w:sz w:val="21"/>
          <w:szCs w:val="21"/>
          <w:highlight w:val="none"/>
        </w:rPr>
      </w:pPr>
    </w:p>
    <w:p>
      <w:pPr>
        <w:jc w:val="center"/>
        <w:rPr>
          <w:rFonts w:ascii="宋体" w:hAnsi="宋体" w:eastAsia="宋体" w:cs="宋体"/>
          <w:b/>
          <w:snapToGrid w:val="0"/>
          <w:color w:val="auto"/>
          <w:kern w:val="0"/>
          <w:sz w:val="32"/>
          <w:szCs w:val="32"/>
          <w:highlight w:val="none"/>
        </w:rPr>
      </w:pPr>
    </w:p>
    <w:p>
      <w:pPr>
        <w:jc w:val="center"/>
        <w:rPr>
          <w:rFonts w:ascii="宋体" w:hAnsi="宋体" w:eastAsia="宋体" w:cs="宋体"/>
          <w:b/>
          <w:snapToGrid w:val="0"/>
          <w:color w:val="auto"/>
          <w:kern w:val="0"/>
          <w:sz w:val="32"/>
          <w:szCs w:val="32"/>
          <w:highlight w:val="none"/>
        </w:rPr>
      </w:pPr>
    </w:p>
    <w:p>
      <w:pPr>
        <w:jc w:val="center"/>
        <w:rPr>
          <w:rFonts w:ascii="宋体" w:hAnsi="宋体" w:eastAsia="宋体" w:cs="宋体"/>
          <w:snapToGrid w:val="0"/>
          <w:color w:val="auto"/>
          <w:highlight w:val="none"/>
        </w:rPr>
      </w:pPr>
      <w:r>
        <w:rPr>
          <w:rFonts w:hint="eastAsia" w:ascii="宋体" w:hAnsi="宋体" w:eastAsia="宋体" w:cs="宋体"/>
          <w:snapToGrid w:val="0"/>
          <w:color w:val="auto"/>
          <w:kern w:val="0"/>
          <w:highlight w:val="none"/>
        </w:rPr>
        <w:br w:type="page"/>
      </w:r>
      <w:bookmarkStart w:id="438" w:name="_Toc24863"/>
      <w:bookmarkStart w:id="439" w:name="_Toc16113_WPSOffice_Level2"/>
      <w:bookmarkStart w:id="440" w:name="_Toc224103511"/>
      <w:bookmarkStart w:id="441" w:name="_Toc342252491"/>
      <w:bookmarkStart w:id="442" w:name="_Toc287607883"/>
      <w:bookmarkStart w:id="443" w:name="_Toc342906455"/>
      <w:bookmarkStart w:id="444" w:name="_Toc277082657"/>
      <w:bookmarkStart w:id="445" w:name="_Toc342252675"/>
      <w:bookmarkStart w:id="446" w:name="_Toc516620670"/>
      <w:bookmarkStart w:id="447" w:name="_Toc451732671"/>
      <w:bookmarkStart w:id="448" w:name="_Toc23036_WPSOffice_Level1"/>
      <w:r>
        <w:rPr>
          <w:rFonts w:hint="eastAsia" w:ascii="宋体" w:hAnsi="宋体" w:eastAsia="宋体" w:cs="宋体"/>
          <w:b/>
          <w:bCs/>
          <w:snapToGrid w:val="0"/>
          <w:color w:val="auto"/>
          <w:sz w:val="32"/>
          <w:szCs w:val="32"/>
          <w:highlight w:val="none"/>
        </w:rPr>
        <w:t>（一）法定代表人</w:t>
      </w:r>
      <w:r>
        <w:rPr>
          <w:rFonts w:hint="eastAsia" w:ascii="宋体" w:hAnsi="宋体" w:eastAsia="宋体" w:cs="宋体"/>
          <w:b/>
          <w:bCs/>
          <w:snapToGrid w:val="0"/>
          <w:color w:val="auto"/>
          <w:sz w:val="32"/>
          <w:szCs w:val="32"/>
          <w:highlight w:val="none"/>
          <w:lang w:eastAsia="zh-CN"/>
        </w:rPr>
        <w:t>（单位负责人）</w:t>
      </w:r>
      <w:r>
        <w:rPr>
          <w:rFonts w:hint="eastAsia" w:ascii="宋体" w:hAnsi="宋体" w:eastAsia="宋体" w:cs="宋体"/>
          <w:b/>
          <w:bCs/>
          <w:snapToGrid w:val="0"/>
          <w:color w:val="auto"/>
          <w:sz w:val="32"/>
          <w:szCs w:val="32"/>
          <w:highlight w:val="none"/>
        </w:rPr>
        <w:t>身份证明及授权委托书</w:t>
      </w:r>
      <w:bookmarkEnd w:id="438"/>
      <w:bookmarkEnd w:id="439"/>
      <w:bookmarkEnd w:id="440"/>
      <w:bookmarkEnd w:id="441"/>
      <w:bookmarkEnd w:id="442"/>
      <w:bookmarkEnd w:id="443"/>
      <w:bookmarkEnd w:id="444"/>
      <w:bookmarkEnd w:id="445"/>
      <w:bookmarkEnd w:id="446"/>
      <w:bookmarkEnd w:id="447"/>
      <w:bookmarkEnd w:id="448"/>
    </w:p>
    <w:p>
      <w:pPr>
        <w:jc w:val="center"/>
        <w:rPr>
          <w:rFonts w:ascii="宋体" w:hAnsi="宋体" w:eastAsia="宋体" w:cs="宋体"/>
          <w:b/>
          <w:snapToGrid w:val="0"/>
          <w:color w:val="auto"/>
          <w:kern w:val="0"/>
          <w:highlight w:val="none"/>
        </w:rPr>
      </w:pPr>
      <w:bookmarkStart w:id="449" w:name="_Toc25126_WPSOffice_Level1"/>
      <w:bookmarkStart w:id="450" w:name="_Toc10375_WPSOffice_Level1"/>
      <w:bookmarkStart w:id="451" w:name="_Toc224103513"/>
      <w:r>
        <w:rPr>
          <w:rFonts w:hint="eastAsia" w:ascii="宋体" w:hAnsi="宋体" w:eastAsia="宋体" w:cs="宋体"/>
          <w:b/>
          <w:snapToGrid w:val="0"/>
          <w:color w:val="auto"/>
          <w:kern w:val="0"/>
          <w:sz w:val="28"/>
          <w:highlight w:val="none"/>
        </w:rPr>
        <w:t>法定代表人</w:t>
      </w:r>
      <w:r>
        <w:rPr>
          <w:rFonts w:hint="eastAsia" w:ascii="宋体" w:hAnsi="宋体" w:eastAsia="宋体" w:cs="宋体"/>
          <w:b/>
          <w:snapToGrid w:val="0"/>
          <w:color w:val="auto"/>
          <w:kern w:val="0"/>
          <w:sz w:val="28"/>
          <w:highlight w:val="none"/>
          <w:lang w:eastAsia="zh-CN"/>
        </w:rPr>
        <w:t>（单位负责人）</w:t>
      </w:r>
      <w:r>
        <w:rPr>
          <w:rFonts w:hint="eastAsia" w:ascii="宋体" w:hAnsi="宋体" w:eastAsia="宋体" w:cs="宋体"/>
          <w:b/>
          <w:snapToGrid w:val="0"/>
          <w:color w:val="auto"/>
          <w:kern w:val="0"/>
          <w:sz w:val="28"/>
          <w:highlight w:val="none"/>
        </w:rPr>
        <w:t>身份证明</w:t>
      </w:r>
      <w:bookmarkEnd w:id="449"/>
      <w:bookmarkEnd w:id="450"/>
    </w:p>
    <w:p>
      <w:pPr>
        <w:rPr>
          <w:rFonts w:ascii="宋体" w:hAnsi="宋体" w:eastAsia="宋体" w:cs="宋体"/>
          <w:snapToGrid w:val="0"/>
          <w:color w:val="auto"/>
          <w:kern w:val="0"/>
          <w:highlight w:val="none"/>
        </w:rPr>
      </w:pPr>
    </w:p>
    <w:p>
      <w:pPr>
        <w:tabs>
          <w:tab w:val="left" w:pos="5565"/>
        </w:tabs>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投标人名称：</w:t>
      </w:r>
      <w:r>
        <w:rPr>
          <w:rFonts w:hint="eastAsia" w:ascii="宋体" w:hAnsi="宋体" w:eastAsia="宋体" w:cs="宋体"/>
          <w:snapToGrid w:val="0"/>
          <w:color w:val="auto"/>
          <w:kern w:val="0"/>
          <w:sz w:val="21"/>
          <w:szCs w:val="21"/>
          <w:highlight w:val="none"/>
          <w:u w:val="single"/>
        </w:rPr>
        <w:tab/>
      </w:r>
    </w:p>
    <w:p>
      <w:pPr>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p>
    <w:p>
      <w:pPr>
        <w:tabs>
          <w:tab w:val="left" w:pos="5475"/>
        </w:tabs>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单位性质：</w:t>
      </w:r>
      <w:r>
        <w:rPr>
          <w:rFonts w:hint="eastAsia" w:ascii="宋体" w:hAnsi="宋体" w:eastAsia="宋体" w:cs="宋体"/>
          <w:snapToGrid w:val="0"/>
          <w:color w:val="auto"/>
          <w:kern w:val="0"/>
          <w:sz w:val="21"/>
          <w:szCs w:val="21"/>
          <w:highlight w:val="none"/>
          <w:u w:val="single"/>
        </w:rPr>
        <w:tab/>
      </w:r>
    </w:p>
    <w:p>
      <w:pPr>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p>
    <w:p>
      <w:pPr>
        <w:tabs>
          <w:tab w:val="left" w:pos="5475"/>
        </w:tabs>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地址：</w:t>
      </w:r>
      <w:r>
        <w:rPr>
          <w:rFonts w:hint="eastAsia" w:ascii="宋体" w:hAnsi="宋体" w:eastAsia="宋体" w:cs="宋体"/>
          <w:snapToGrid w:val="0"/>
          <w:color w:val="auto"/>
          <w:kern w:val="0"/>
          <w:sz w:val="21"/>
          <w:szCs w:val="21"/>
          <w:highlight w:val="none"/>
          <w:u w:val="single"/>
        </w:rPr>
        <w:tab/>
      </w:r>
    </w:p>
    <w:p>
      <w:pPr>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p>
    <w:p>
      <w:pPr>
        <w:tabs>
          <w:tab w:val="left" w:pos="2520"/>
          <w:tab w:val="left" w:pos="3836"/>
        </w:tabs>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成立时间：</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月日</w:t>
      </w:r>
    </w:p>
    <w:p>
      <w:pPr>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p>
    <w:p>
      <w:pPr>
        <w:tabs>
          <w:tab w:val="left" w:pos="5475"/>
        </w:tabs>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经营期限：</w:t>
      </w:r>
      <w:r>
        <w:rPr>
          <w:rFonts w:hint="eastAsia" w:ascii="宋体" w:hAnsi="宋体" w:eastAsia="宋体" w:cs="宋体"/>
          <w:snapToGrid w:val="0"/>
          <w:color w:val="auto"/>
          <w:kern w:val="0"/>
          <w:sz w:val="21"/>
          <w:szCs w:val="21"/>
          <w:highlight w:val="none"/>
          <w:u w:val="single"/>
        </w:rPr>
        <w:tab/>
      </w:r>
    </w:p>
    <w:p>
      <w:pPr>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p>
    <w:p>
      <w:pPr>
        <w:tabs>
          <w:tab w:val="left" w:pos="1580"/>
          <w:tab w:val="left" w:pos="3260"/>
          <w:tab w:val="left" w:pos="4840"/>
          <w:tab w:val="left" w:pos="6300"/>
        </w:tabs>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姓名：</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性别：</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年龄：</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职务：</w:t>
      </w:r>
      <w:r>
        <w:rPr>
          <w:rFonts w:hint="eastAsia" w:ascii="宋体" w:hAnsi="宋体" w:eastAsia="宋体" w:cs="宋体"/>
          <w:snapToGrid w:val="0"/>
          <w:color w:val="auto"/>
          <w:kern w:val="0"/>
          <w:sz w:val="21"/>
          <w:szCs w:val="21"/>
          <w:highlight w:val="none"/>
          <w:u w:val="single"/>
        </w:rPr>
        <w:tab/>
      </w:r>
    </w:p>
    <w:p>
      <w:pPr>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p>
    <w:p>
      <w:pPr>
        <w:tabs>
          <w:tab w:val="left" w:pos="3360"/>
        </w:tabs>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系</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（投标人名称）的法定代表人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w:t>
      </w:r>
    </w:p>
    <w:p>
      <w:pPr>
        <w:autoSpaceDE w:val="0"/>
        <w:autoSpaceDN w:val="0"/>
        <w:adjustRightInd w:val="0"/>
        <w:snapToGrid w:val="0"/>
        <w:ind w:firstLine="390" w:firstLineChars="186"/>
        <w:rPr>
          <w:rFonts w:ascii="宋体" w:hAnsi="宋体" w:eastAsia="宋体" w:cs="宋体"/>
          <w:snapToGrid w:val="0"/>
          <w:color w:val="auto"/>
          <w:kern w:val="0"/>
          <w:sz w:val="21"/>
          <w:szCs w:val="21"/>
          <w:highlight w:val="none"/>
        </w:rPr>
      </w:pPr>
    </w:p>
    <w:p>
      <w:pPr>
        <w:autoSpaceDE w:val="0"/>
        <w:autoSpaceDN w:val="0"/>
        <w:adjustRightInd w:val="0"/>
        <w:snapToGrid w:val="0"/>
        <w:ind w:firstLine="810" w:firstLineChars="386"/>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特此证明。</w:t>
      </w:r>
    </w:p>
    <w:p>
      <w:pPr>
        <w:autoSpaceDE w:val="0"/>
        <w:autoSpaceDN w:val="0"/>
        <w:adjustRightInd w:val="0"/>
        <w:snapToGrid w:val="0"/>
        <w:rPr>
          <w:rFonts w:ascii="宋体" w:hAnsi="宋体" w:eastAsia="宋体" w:cs="宋体"/>
          <w:snapToGrid w:val="0"/>
          <w:color w:val="auto"/>
          <w:kern w:val="0"/>
          <w:sz w:val="21"/>
          <w:szCs w:val="21"/>
          <w:highlight w:val="none"/>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8440" w:type="dxa"/>
            <w:noWrap w:val="0"/>
            <w:vAlign w:val="top"/>
          </w:tcPr>
          <w:p>
            <w:pPr>
              <w:autoSpaceDE w:val="0"/>
              <w:autoSpaceDN w:val="0"/>
              <w:adjustRightInd w:val="0"/>
              <w:snapToGrid w:val="0"/>
              <w:jc w:val="both"/>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此处粘贴：法定代表人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身份证复印件双面</w:t>
            </w:r>
          </w:p>
        </w:tc>
      </w:tr>
    </w:tbl>
    <w:p>
      <w:pPr>
        <w:autoSpaceDE w:val="0"/>
        <w:autoSpaceDN w:val="0"/>
        <w:adjustRightInd w:val="0"/>
        <w:snapToGrid w:val="0"/>
        <w:rPr>
          <w:rFonts w:ascii="宋体" w:hAnsi="宋体" w:eastAsia="宋体" w:cs="宋体"/>
          <w:snapToGrid w:val="0"/>
          <w:color w:val="auto"/>
          <w:kern w:val="0"/>
          <w:sz w:val="21"/>
          <w:szCs w:val="21"/>
          <w:highlight w:val="none"/>
        </w:rPr>
      </w:pPr>
    </w:p>
    <w:p>
      <w:pPr>
        <w:autoSpaceDE w:val="0"/>
        <w:autoSpaceDN w:val="0"/>
        <w:adjustRightInd w:val="0"/>
        <w:snapToGrid w:val="0"/>
        <w:rPr>
          <w:rFonts w:ascii="宋体" w:hAnsi="宋体" w:eastAsia="宋体" w:cs="宋体"/>
          <w:snapToGrid w:val="0"/>
          <w:color w:val="auto"/>
          <w:kern w:val="0"/>
          <w:sz w:val="21"/>
          <w:szCs w:val="21"/>
          <w:highlight w:val="none"/>
        </w:rPr>
      </w:pPr>
    </w:p>
    <w:p>
      <w:pPr>
        <w:tabs>
          <w:tab w:val="left" w:pos="5460"/>
        </w:tabs>
        <w:autoSpaceDE w:val="0"/>
        <w:autoSpaceDN w:val="0"/>
        <w:adjustRightInd w:val="0"/>
        <w:snapToGrid w:val="0"/>
        <w:ind w:firstLine="210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（盖单位章）</w:t>
      </w:r>
    </w:p>
    <w:p>
      <w:pPr>
        <w:autoSpaceDE w:val="0"/>
        <w:autoSpaceDN w:val="0"/>
        <w:adjustRightInd w:val="0"/>
        <w:snapToGrid w:val="0"/>
        <w:rPr>
          <w:rFonts w:ascii="宋体" w:hAnsi="宋体" w:eastAsia="宋体" w:cs="宋体"/>
          <w:snapToGrid w:val="0"/>
          <w:color w:val="auto"/>
          <w:kern w:val="0"/>
          <w:sz w:val="21"/>
          <w:szCs w:val="21"/>
          <w:highlight w:val="none"/>
        </w:rPr>
      </w:pPr>
    </w:p>
    <w:p>
      <w:pPr>
        <w:tabs>
          <w:tab w:val="left" w:pos="4935"/>
          <w:tab w:val="left" w:pos="5460"/>
          <w:tab w:val="left" w:pos="6400"/>
        </w:tabs>
        <w:autoSpaceDE w:val="0"/>
        <w:autoSpaceDN w:val="0"/>
        <w:adjustRightInd w:val="0"/>
        <w:snapToGrid w:val="0"/>
        <w:ind w:firstLine="378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年   月    日</w:t>
      </w:r>
    </w:p>
    <w:p>
      <w:pPr>
        <w:autoSpaceDE w:val="0"/>
        <w:autoSpaceDN w:val="0"/>
        <w:adjustRightInd w:val="0"/>
        <w:snapToGrid w:val="0"/>
        <w:rPr>
          <w:rFonts w:ascii="宋体" w:hAnsi="宋体" w:eastAsia="宋体" w:cs="宋体"/>
          <w:snapToGrid w:val="0"/>
          <w:color w:val="auto"/>
          <w:kern w:val="0"/>
          <w:highlight w:val="none"/>
        </w:rPr>
      </w:pPr>
    </w:p>
    <w:p>
      <w:pPr>
        <w:autoSpaceDE w:val="0"/>
        <w:autoSpaceDN w:val="0"/>
        <w:adjustRightInd w:val="0"/>
        <w:snapToGrid w:val="0"/>
        <w:rPr>
          <w:rFonts w:ascii="宋体" w:hAnsi="宋体" w:eastAsia="宋体" w:cs="宋体"/>
          <w:snapToGrid w:val="0"/>
          <w:color w:val="auto"/>
          <w:kern w:val="0"/>
          <w:highlight w:val="none"/>
        </w:rPr>
      </w:pPr>
    </w:p>
    <w:p>
      <w:pPr>
        <w:autoSpaceDE w:val="0"/>
        <w:autoSpaceDN w:val="0"/>
        <w:adjustRightInd w:val="0"/>
        <w:snapToGrid w:val="0"/>
        <w:rPr>
          <w:rFonts w:ascii="宋体" w:hAnsi="宋体" w:eastAsia="宋体" w:cs="宋体"/>
          <w:snapToGrid w:val="0"/>
          <w:color w:val="auto"/>
          <w:kern w:val="0"/>
          <w:highlight w:val="none"/>
        </w:rPr>
      </w:pPr>
    </w:p>
    <w:p>
      <w:pPr>
        <w:tabs>
          <w:tab w:val="left" w:pos="1680"/>
          <w:tab w:val="left" w:pos="4215"/>
          <w:tab w:val="left" w:pos="4305"/>
          <w:tab w:val="left" w:pos="8000"/>
        </w:tabs>
        <w:autoSpaceDE w:val="0"/>
        <w:autoSpaceDN w:val="0"/>
        <w:adjustRightInd w:val="0"/>
        <w:snapToGrid w:val="0"/>
        <w:jc w:val="center"/>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br w:type="page"/>
      </w:r>
      <w:bookmarkStart w:id="452" w:name="_Toc9666_WPSOffice_Level1"/>
      <w:bookmarkStart w:id="453" w:name="_Toc17853_WPSOffice_Level1"/>
      <w:r>
        <w:rPr>
          <w:rFonts w:hint="eastAsia" w:ascii="宋体" w:hAnsi="宋体" w:eastAsia="宋体" w:cs="宋体"/>
          <w:b/>
          <w:snapToGrid w:val="0"/>
          <w:color w:val="auto"/>
          <w:kern w:val="0"/>
          <w:sz w:val="28"/>
          <w:szCs w:val="28"/>
          <w:highlight w:val="none"/>
        </w:rPr>
        <w:t>授权委托书</w:t>
      </w:r>
      <w:bookmarkEnd w:id="452"/>
      <w:bookmarkEnd w:id="453"/>
    </w:p>
    <w:p>
      <w:pPr>
        <w:autoSpaceDE w:val="0"/>
        <w:autoSpaceDN w:val="0"/>
        <w:adjustRightInd w:val="0"/>
        <w:snapToGrid w:val="0"/>
        <w:rPr>
          <w:rFonts w:ascii="宋体" w:hAnsi="宋体" w:eastAsia="宋体" w:cs="宋体"/>
          <w:snapToGrid w:val="0"/>
          <w:color w:val="auto"/>
          <w:kern w:val="0"/>
          <w:sz w:val="20"/>
          <w:szCs w:val="20"/>
          <w:highlight w:val="none"/>
        </w:rPr>
      </w:pPr>
    </w:p>
    <w:p>
      <w:pPr>
        <w:tabs>
          <w:tab w:val="left" w:pos="1680"/>
          <w:tab w:val="left" w:pos="4215"/>
          <w:tab w:val="left" w:pos="4305"/>
          <w:tab w:val="left" w:pos="8000"/>
        </w:tabs>
        <w:autoSpaceDE w:val="0"/>
        <w:autoSpaceDN w:val="0"/>
        <w:adjustRightInd w:val="0"/>
        <w:snapToGrid w:val="0"/>
        <w:ind w:firstLine="42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本人</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（姓名）系</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（投标人名称）的法定代表人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，现委托（姓名）为我方代理人。代理人根据授权，以我方名义签署、澄清、说明、补正、递交、撤回、修改</w:t>
      </w:r>
      <w:r>
        <w:rPr>
          <w:rFonts w:hint="eastAsia" w:ascii="宋体" w:hAnsi="宋体" w:eastAsia="宋体" w:cs="宋体"/>
          <w:snapToGrid w:val="0"/>
          <w:color w:val="auto"/>
          <w:kern w:val="0"/>
          <w:sz w:val="21"/>
          <w:szCs w:val="21"/>
          <w:highlight w:val="none"/>
          <w:u w:val="single"/>
        </w:rPr>
        <w:t xml:space="preserve">（项目名称）      </w:t>
      </w:r>
      <w:r>
        <w:rPr>
          <w:rFonts w:hint="eastAsia" w:ascii="宋体" w:hAnsi="宋体" w:eastAsia="宋体" w:cs="宋体"/>
          <w:snapToGrid w:val="0"/>
          <w:color w:val="auto"/>
          <w:kern w:val="0"/>
          <w:sz w:val="21"/>
          <w:szCs w:val="21"/>
          <w:highlight w:val="none"/>
        </w:rPr>
        <w:t>投标文件、签订合同和处理有关事宜，其法律后果由我方承担。</w:t>
      </w:r>
    </w:p>
    <w:p>
      <w:pPr>
        <w:tabs>
          <w:tab w:val="left" w:pos="1680"/>
          <w:tab w:val="left" w:pos="4215"/>
          <w:tab w:val="left" w:pos="4305"/>
          <w:tab w:val="left" w:pos="8000"/>
        </w:tabs>
        <w:autoSpaceDE w:val="0"/>
        <w:autoSpaceDN w:val="0"/>
        <w:adjustRightInd w:val="0"/>
        <w:snapToGrid w:val="0"/>
        <w:ind w:firstLine="42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委托期限：</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p>
    <w:p>
      <w:pPr>
        <w:tabs>
          <w:tab w:val="left" w:pos="1680"/>
          <w:tab w:val="left" w:pos="4215"/>
          <w:tab w:val="left" w:pos="4305"/>
          <w:tab w:val="left" w:pos="8000"/>
        </w:tabs>
        <w:autoSpaceDE w:val="0"/>
        <w:autoSpaceDN w:val="0"/>
        <w:adjustRightInd w:val="0"/>
        <w:snapToGrid w:val="0"/>
        <w:ind w:firstLine="42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代理人无转委托权。</w:t>
      </w:r>
    </w:p>
    <w:p>
      <w:pPr>
        <w:tabs>
          <w:tab w:val="left" w:pos="4200"/>
          <w:tab w:val="left" w:pos="4620"/>
        </w:tabs>
        <w:autoSpaceDE w:val="0"/>
        <w:autoSpaceDN w:val="0"/>
        <w:adjustRightInd w:val="0"/>
        <w:snapToGrid w:val="0"/>
        <w:ind w:firstLine="1694"/>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rPr>
        <w:t>（盖单位章）</w:t>
      </w:r>
    </w:p>
    <w:p>
      <w:pPr>
        <w:tabs>
          <w:tab w:val="left" w:pos="6300"/>
        </w:tabs>
        <w:autoSpaceDE w:val="0"/>
        <w:autoSpaceDN w:val="0"/>
        <w:adjustRightInd w:val="0"/>
        <w:snapToGrid w:val="0"/>
        <w:ind w:firstLine="168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（签字）</w:t>
      </w:r>
    </w:p>
    <w:p>
      <w:pPr>
        <w:tabs>
          <w:tab w:val="left" w:pos="5260"/>
        </w:tabs>
        <w:autoSpaceDE w:val="0"/>
        <w:autoSpaceDN w:val="0"/>
        <w:adjustRightInd w:val="0"/>
        <w:snapToGrid w:val="0"/>
        <w:ind w:firstLine="1680"/>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身份证号码：</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lang w:val="en-US" w:eastAsia="zh-CN"/>
        </w:rPr>
        <w:t xml:space="preserve">              </w:t>
      </w:r>
    </w:p>
    <w:p>
      <w:pPr>
        <w:tabs>
          <w:tab w:val="left" w:pos="6720"/>
        </w:tabs>
        <w:autoSpaceDE w:val="0"/>
        <w:autoSpaceDN w:val="0"/>
        <w:adjustRightInd w:val="0"/>
        <w:snapToGrid w:val="0"/>
        <w:ind w:firstLine="168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委托代理人：</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（签字）</w:t>
      </w:r>
    </w:p>
    <w:p>
      <w:pPr>
        <w:tabs>
          <w:tab w:val="left" w:pos="6825"/>
        </w:tabs>
        <w:autoSpaceDE w:val="0"/>
        <w:autoSpaceDN w:val="0"/>
        <w:adjustRightInd w:val="0"/>
        <w:snapToGrid w:val="0"/>
        <w:ind w:firstLine="168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身份证号码：</w:t>
      </w:r>
      <w:r>
        <w:rPr>
          <w:rFonts w:hint="eastAsia" w:ascii="宋体" w:hAnsi="宋体" w:eastAsia="宋体" w:cs="宋体"/>
          <w:snapToGrid w:val="0"/>
          <w:color w:val="auto"/>
          <w:kern w:val="0"/>
          <w:sz w:val="21"/>
          <w:szCs w:val="21"/>
          <w:highlight w:val="none"/>
          <w:u w:val="single"/>
        </w:rPr>
        <w:tab/>
      </w:r>
    </w:p>
    <w:p>
      <w:pPr>
        <w:autoSpaceDE w:val="0"/>
        <w:autoSpaceDN w:val="0"/>
        <w:adjustRightInd w:val="0"/>
        <w:snapToGrid w:val="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（此处粘贴法定代表人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及委托代理人的身份证双面复印件）</w:t>
      </w:r>
    </w:p>
    <w:p>
      <w:pPr>
        <w:autoSpaceDE w:val="0"/>
        <w:autoSpaceDN w:val="0"/>
        <w:adjustRightInd w:val="0"/>
        <w:snapToGrid w:val="0"/>
        <w:rPr>
          <w:rFonts w:ascii="宋体" w:hAnsi="宋体" w:eastAsia="宋体" w:cs="宋体"/>
          <w:snapToGrid w:val="0"/>
          <w:color w:val="auto"/>
          <w:kern w:val="0"/>
          <w:sz w:val="21"/>
          <w:szCs w:val="21"/>
          <w:highlight w:val="none"/>
        </w:rPr>
      </w:pPr>
    </w:p>
    <w:p>
      <w:pPr>
        <w:autoSpaceDE w:val="0"/>
        <w:autoSpaceDN w:val="0"/>
        <w:adjustRightInd w:val="0"/>
        <w:snapToGrid w:val="0"/>
        <w:rPr>
          <w:rFonts w:ascii="宋体" w:hAnsi="宋体" w:eastAsia="宋体" w:cs="宋体"/>
          <w:snapToGrid w:val="0"/>
          <w:color w:val="auto"/>
          <w:kern w:val="0"/>
          <w:sz w:val="21"/>
          <w:szCs w:val="21"/>
          <w:highlight w:val="none"/>
        </w:rPr>
      </w:pPr>
    </w:p>
    <w:p>
      <w:pPr>
        <w:autoSpaceDE w:val="0"/>
        <w:autoSpaceDN w:val="0"/>
        <w:adjustRightInd w:val="0"/>
        <w:snapToGrid w:val="0"/>
        <w:rPr>
          <w:rFonts w:ascii="宋体" w:hAnsi="宋体" w:eastAsia="宋体" w:cs="宋体"/>
          <w:snapToGrid w:val="0"/>
          <w:color w:val="auto"/>
          <w:kern w:val="0"/>
          <w:sz w:val="21"/>
          <w:szCs w:val="21"/>
          <w:highlight w:val="none"/>
        </w:rPr>
      </w:pPr>
    </w:p>
    <w:p>
      <w:pPr>
        <w:autoSpaceDE w:val="0"/>
        <w:autoSpaceDN w:val="0"/>
        <w:adjustRightInd w:val="0"/>
        <w:snapToGrid w:val="0"/>
        <w:rPr>
          <w:rFonts w:hint="eastAsia" w:ascii="宋体" w:hAnsi="宋体" w:eastAsia="宋体" w:cs="宋体"/>
          <w:snapToGrid w:val="0"/>
          <w:color w:val="auto"/>
          <w:kern w:val="0"/>
          <w:sz w:val="21"/>
          <w:szCs w:val="21"/>
          <w:highlight w:val="none"/>
        </w:rPr>
      </w:pPr>
    </w:p>
    <w:p>
      <w:pPr>
        <w:pStyle w:val="29"/>
        <w:rPr>
          <w:rFonts w:hint="eastAsia"/>
          <w:color w:val="auto"/>
          <w:highlight w:val="none"/>
        </w:rPr>
      </w:pPr>
    </w:p>
    <w:p>
      <w:pPr>
        <w:rPr>
          <w:rFonts w:hint="eastAsia"/>
          <w:color w:val="auto"/>
          <w:highlight w:val="none"/>
        </w:rPr>
      </w:pPr>
    </w:p>
    <w:p>
      <w:pPr>
        <w:autoSpaceDE w:val="0"/>
        <w:autoSpaceDN w:val="0"/>
        <w:adjustRightInd w:val="0"/>
        <w:snapToGrid w:val="0"/>
        <w:rPr>
          <w:rFonts w:ascii="宋体" w:hAnsi="宋体" w:eastAsia="宋体" w:cs="宋体"/>
          <w:snapToGrid w:val="0"/>
          <w:color w:val="auto"/>
          <w:kern w:val="0"/>
          <w:sz w:val="21"/>
          <w:szCs w:val="21"/>
          <w:highlight w:val="none"/>
        </w:rPr>
      </w:pPr>
    </w:p>
    <w:p>
      <w:pPr>
        <w:autoSpaceDE w:val="0"/>
        <w:autoSpaceDN w:val="0"/>
        <w:adjustRightInd w:val="0"/>
        <w:snapToGrid w:val="0"/>
        <w:rPr>
          <w:rFonts w:ascii="宋体" w:hAnsi="宋体" w:eastAsia="宋体" w:cs="宋体"/>
          <w:snapToGrid w:val="0"/>
          <w:color w:val="auto"/>
          <w:kern w:val="0"/>
          <w:sz w:val="21"/>
          <w:szCs w:val="21"/>
          <w:highlight w:val="none"/>
        </w:rPr>
      </w:pPr>
    </w:p>
    <w:p>
      <w:pPr>
        <w:pStyle w:val="29"/>
        <w:rPr>
          <w:rFonts w:ascii="宋体" w:hAnsi="宋体" w:eastAsia="宋体" w:cs="宋体"/>
          <w:snapToGrid w:val="0"/>
          <w:color w:val="auto"/>
          <w:kern w:val="0"/>
          <w:sz w:val="21"/>
          <w:szCs w:val="21"/>
          <w:highlight w:val="none"/>
        </w:rPr>
      </w:pPr>
    </w:p>
    <w:p>
      <w:pPr>
        <w:rPr>
          <w:rFonts w:ascii="宋体" w:hAnsi="宋体" w:eastAsia="宋体" w:cs="宋体"/>
          <w:snapToGrid w:val="0"/>
          <w:color w:val="auto"/>
          <w:kern w:val="0"/>
          <w:sz w:val="21"/>
          <w:szCs w:val="21"/>
          <w:highlight w:val="none"/>
        </w:rPr>
      </w:pPr>
    </w:p>
    <w:p>
      <w:pPr>
        <w:pStyle w:val="29"/>
        <w:rPr>
          <w:rFonts w:ascii="宋体" w:hAnsi="宋体" w:eastAsia="宋体" w:cs="宋体"/>
          <w:color w:val="auto"/>
          <w:sz w:val="21"/>
          <w:szCs w:val="21"/>
          <w:highlight w:val="none"/>
        </w:rPr>
      </w:pPr>
    </w:p>
    <w:p>
      <w:pPr>
        <w:tabs>
          <w:tab w:val="left" w:pos="4005"/>
          <w:tab w:val="left" w:pos="4100"/>
          <w:tab w:val="left" w:pos="5040"/>
        </w:tabs>
        <w:autoSpaceDE w:val="0"/>
        <w:autoSpaceDN w:val="0"/>
        <w:adjustRightInd w:val="0"/>
        <w:snapToGrid w:val="0"/>
        <w:ind w:firstLine="378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pPr>
        <w:tabs>
          <w:tab w:val="left" w:pos="4005"/>
          <w:tab w:val="left" w:pos="4100"/>
          <w:tab w:val="left" w:pos="5040"/>
        </w:tabs>
        <w:autoSpaceDE w:val="0"/>
        <w:autoSpaceDN w:val="0"/>
        <w:adjustRightInd w:val="0"/>
        <w:snapToGrid w:val="0"/>
        <w:ind w:firstLine="3780"/>
        <w:rPr>
          <w:rFonts w:hint="eastAsia" w:ascii="宋体" w:hAnsi="宋体" w:eastAsia="宋体" w:cs="宋体"/>
          <w:snapToGrid w:val="0"/>
          <w:color w:val="auto"/>
          <w:kern w:val="0"/>
          <w:sz w:val="21"/>
          <w:szCs w:val="21"/>
          <w:highlight w:val="none"/>
        </w:rPr>
      </w:pPr>
    </w:p>
    <w:p>
      <w:pPr>
        <w:tabs>
          <w:tab w:val="left" w:pos="5760"/>
        </w:tabs>
        <w:autoSpaceDE w:val="0"/>
        <w:autoSpaceDN w:val="0"/>
        <w:adjustRightInd w:val="0"/>
        <w:spacing w:line="300" w:lineRule="exact"/>
        <w:ind w:left="735" w:right="11" w:hanging="735" w:hangingChars="35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注：1、法定代表人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参加投标活动并签署文件的不需要授权委托书，只需提供法定代表人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身份证明；非法定代表人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参加投标活动及签署文件的除提供法定代表人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身份证明外还须提供授权委托书。</w:t>
      </w:r>
    </w:p>
    <w:p>
      <w:pPr>
        <w:tabs>
          <w:tab w:val="left" w:pos="5760"/>
        </w:tabs>
        <w:autoSpaceDE w:val="0"/>
        <w:autoSpaceDN w:val="0"/>
        <w:adjustRightInd w:val="0"/>
        <w:spacing w:line="300" w:lineRule="exact"/>
        <w:ind w:left="896" w:leftChars="253" w:right="11" w:hanging="289" w:hangingChars="138"/>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2、法定代表人</w:t>
      </w:r>
      <w:r>
        <w:rPr>
          <w:rFonts w:hint="eastAsia" w:ascii="宋体" w:hAnsi="宋体" w:eastAsia="宋体" w:cs="宋体"/>
          <w:snapToGrid w:val="0"/>
          <w:color w:val="auto"/>
          <w:sz w:val="21"/>
          <w:szCs w:val="21"/>
          <w:highlight w:val="none"/>
          <w:lang w:eastAsia="zh-CN"/>
        </w:rPr>
        <w:t>（单位负责人）</w:t>
      </w:r>
      <w:r>
        <w:rPr>
          <w:rFonts w:hint="eastAsia" w:ascii="宋体" w:hAnsi="宋体" w:eastAsia="宋体" w:cs="宋体"/>
          <w:snapToGrid w:val="0"/>
          <w:color w:val="auto"/>
          <w:kern w:val="0"/>
          <w:sz w:val="21"/>
          <w:szCs w:val="21"/>
          <w:highlight w:val="none"/>
        </w:rPr>
        <w:t>身份证明及授权委托书原件装入投标文件一并递交。另外须准备一份在开标现场出具。</w:t>
      </w:r>
    </w:p>
    <w:p>
      <w:pPr>
        <w:tabs>
          <w:tab w:val="left" w:pos="1680"/>
          <w:tab w:val="left" w:pos="4215"/>
          <w:tab w:val="left" w:pos="4305"/>
          <w:tab w:val="left" w:pos="8000"/>
        </w:tabs>
        <w:autoSpaceDE w:val="0"/>
        <w:autoSpaceDN w:val="0"/>
        <w:adjustRightInd w:val="0"/>
        <w:snapToGrid w:val="0"/>
        <w:jc w:val="center"/>
        <w:rPr>
          <w:rFonts w:ascii="宋体" w:hAnsi="宋体" w:eastAsia="宋体" w:cs="宋体"/>
          <w:snapToGrid w:val="0"/>
          <w:color w:val="auto"/>
          <w:kern w:val="0"/>
          <w:highlight w:val="none"/>
        </w:rPr>
      </w:pPr>
    </w:p>
    <w:p>
      <w:pPr>
        <w:pStyle w:val="5"/>
        <w:jc w:val="center"/>
        <w:rPr>
          <w:rFonts w:ascii="宋体" w:hAnsi="宋体" w:eastAsia="宋体" w:cs="宋体"/>
          <w:snapToGrid w:val="0"/>
          <w:color w:val="auto"/>
          <w:sz w:val="32"/>
          <w:highlight w:val="none"/>
        </w:rPr>
      </w:pPr>
      <w:bookmarkStart w:id="454" w:name="_Toc342252676"/>
      <w:bookmarkStart w:id="455" w:name="_Toc342906456"/>
      <w:bookmarkStart w:id="456" w:name="_Toc23281"/>
      <w:bookmarkStart w:id="457" w:name="_Toc20140_WPSOffice_Level1"/>
      <w:bookmarkStart w:id="458" w:name="_Toc451732672"/>
      <w:bookmarkStart w:id="459" w:name="_Toc287607885"/>
      <w:bookmarkStart w:id="460" w:name="_Toc516620671"/>
      <w:bookmarkStart w:id="461" w:name="_Toc342252492"/>
      <w:bookmarkStart w:id="462" w:name="_Toc9256_WPSOffice_Level1"/>
      <w:r>
        <w:rPr>
          <w:rFonts w:hint="eastAsia" w:ascii="宋体" w:hAnsi="宋体" w:eastAsia="宋体" w:cs="宋体"/>
          <w:snapToGrid w:val="0"/>
          <w:color w:val="auto"/>
          <w:sz w:val="32"/>
          <w:highlight w:val="none"/>
        </w:rPr>
        <w:t>（二）投标人基本情况表</w:t>
      </w:r>
      <w:bookmarkEnd w:id="451"/>
      <w:bookmarkEnd w:id="454"/>
      <w:bookmarkEnd w:id="455"/>
      <w:bookmarkEnd w:id="456"/>
      <w:bookmarkEnd w:id="457"/>
      <w:bookmarkEnd w:id="458"/>
      <w:bookmarkEnd w:id="459"/>
      <w:bookmarkEnd w:id="460"/>
      <w:bookmarkEnd w:id="461"/>
      <w:bookmarkEnd w:id="462"/>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197"/>
        <w:gridCol w:w="980"/>
        <w:gridCol w:w="695"/>
        <w:gridCol w:w="594"/>
        <w:gridCol w:w="339"/>
        <w:gridCol w:w="1197"/>
        <w:gridCol w:w="164"/>
        <w:gridCol w:w="339"/>
        <w:gridCol w:w="870"/>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4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申请人名</w:t>
            </w:r>
          </w:p>
        </w:tc>
        <w:tc>
          <w:tcPr>
            <w:tcW w:w="7406" w:type="dxa"/>
            <w:gridSpan w:val="10"/>
            <w:noWrap w:val="0"/>
            <w:vAlign w:val="center"/>
          </w:tcPr>
          <w:p>
            <w:pPr>
              <w:spacing w:line="0" w:lineRule="atLeast"/>
              <w:jc w:val="center"/>
              <w:rPr>
                <w:rFonts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4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注册地址</w:t>
            </w:r>
          </w:p>
        </w:tc>
        <w:tc>
          <w:tcPr>
            <w:tcW w:w="3805" w:type="dxa"/>
            <w:gridSpan w:val="5"/>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119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邮政编码</w:t>
            </w:r>
          </w:p>
        </w:tc>
        <w:tc>
          <w:tcPr>
            <w:tcW w:w="2404" w:type="dxa"/>
            <w:gridSpan w:val="4"/>
            <w:noWrap w:val="0"/>
            <w:vAlign w:val="center"/>
          </w:tcPr>
          <w:p>
            <w:pPr>
              <w:spacing w:line="0" w:lineRule="atLeast"/>
              <w:jc w:val="center"/>
              <w:rPr>
                <w:rFonts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47" w:type="dxa"/>
            <w:vMerge w:val="restart"/>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联系方式</w:t>
            </w:r>
          </w:p>
        </w:tc>
        <w:tc>
          <w:tcPr>
            <w:tcW w:w="119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联系人</w:t>
            </w:r>
          </w:p>
        </w:tc>
        <w:tc>
          <w:tcPr>
            <w:tcW w:w="2608" w:type="dxa"/>
            <w:gridSpan w:val="4"/>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119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电话</w:t>
            </w:r>
          </w:p>
        </w:tc>
        <w:tc>
          <w:tcPr>
            <w:tcW w:w="2404" w:type="dxa"/>
            <w:gridSpan w:val="4"/>
            <w:noWrap w:val="0"/>
            <w:vAlign w:val="center"/>
          </w:tcPr>
          <w:p>
            <w:pPr>
              <w:spacing w:line="0" w:lineRule="atLeast"/>
              <w:jc w:val="center"/>
              <w:rPr>
                <w:rFonts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7" w:type="dxa"/>
            <w:vMerge w:val="continue"/>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119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传真</w:t>
            </w:r>
          </w:p>
        </w:tc>
        <w:tc>
          <w:tcPr>
            <w:tcW w:w="2608" w:type="dxa"/>
            <w:gridSpan w:val="4"/>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119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网址</w:t>
            </w:r>
          </w:p>
        </w:tc>
        <w:tc>
          <w:tcPr>
            <w:tcW w:w="2404" w:type="dxa"/>
            <w:gridSpan w:val="4"/>
            <w:noWrap w:val="0"/>
            <w:vAlign w:val="center"/>
          </w:tcPr>
          <w:p>
            <w:pPr>
              <w:spacing w:line="0" w:lineRule="atLeast"/>
              <w:jc w:val="center"/>
              <w:rPr>
                <w:rFonts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组织结构</w:t>
            </w:r>
          </w:p>
        </w:tc>
        <w:tc>
          <w:tcPr>
            <w:tcW w:w="7406" w:type="dxa"/>
            <w:gridSpan w:val="10"/>
            <w:noWrap w:val="0"/>
            <w:vAlign w:val="center"/>
          </w:tcPr>
          <w:p>
            <w:pPr>
              <w:spacing w:line="0" w:lineRule="atLeast"/>
              <w:jc w:val="center"/>
              <w:rPr>
                <w:rFonts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4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法定代表人</w:t>
            </w:r>
            <w:r>
              <w:rPr>
                <w:rFonts w:hint="eastAsia" w:ascii="宋体" w:hAnsi="宋体" w:eastAsia="宋体" w:cs="宋体"/>
                <w:snapToGrid w:val="0"/>
                <w:color w:val="auto"/>
                <w:sz w:val="21"/>
                <w:szCs w:val="21"/>
                <w:highlight w:val="none"/>
                <w:lang w:eastAsia="zh-CN"/>
              </w:rPr>
              <w:t>（单位负责人）</w:t>
            </w:r>
          </w:p>
        </w:tc>
        <w:tc>
          <w:tcPr>
            <w:tcW w:w="119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姓名</w:t>
            </w:r>
          </w:p>
        </w:tc>
        <w:tc>
          <w:tcPr>
            <w:tcW w:w="980" w:type="dxa"/>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1289" w:type="dxa"/>
            <w:gridSpan w:val="2"/>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职务</w:t>
            </w:r>
          </w:p>
        </w:tc>
        <w:tc>
          <w:tcPr>
            <w:tcW w:w="2039" w:type="dxa"/>
            <w:gridSpan w:val="4"/>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870"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电话</w:t>
            </w:r>
          </w:p>
        </w:tc>
        <w:tc>
          <w:tcPr>
            <w:tcW w:w="1031" w:type="dxa"/>
            <w:noWrap w:val="0"/>
            <w:vAlign w:val="center"/>
          </w:tcPr>
          <w:p>
            <w:pPr>
              <w:spacing w:line="0" w:lineRule="atLeast"/>
              <w:jc w:val="center"/>
              <w:rPr>
                <w:rFonts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4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项目负责人</w:t>
            </w:r>
          </w:p>
        </w:tc>
        <w:tc>
          <w:tcPr>
            <w:tcW w:w="119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姓名</w:t>
            </w:r>
          </w:p>
        </w:tc>
        <w:tc>
          <w:tcPr>
            <w:tcW w:w="980" w:type="dxa"/>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1289" w:type="dxa"/>
            <w:gridSpan w:val="2"/>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职务</w:t>
            </w:r>
          </w:p>
        </w:tc>
        <w:tc>
          <w:tcPr>
            <w:tcW w:w="2039" w:type="dxa"/>
            <w:gridSpan w:val="4"/>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870"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电话</w:t>
            </w:r>
          </w:p>
        </w:tc>
        <w:tc>
          <w:tcPr>
            <w:tcW w:w="1031" w:type="dxa"/>
            <w:noWrap w:val="0"/>
            <w:vAlign w:val="center"/>
          </w:tcPr>
          <w:p>
            <w:pPr>
              <w:spacing w:line="0" w:lineRule="atLeast"/>
              <w:jc w:val="center"/>
              <w:rPr>
                <w:rFonts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4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成立时间</w:t>
            </w:r>
          </w:p>
        </w:tc>
        <w:tc>
          <w:tcPr>
            <w:tcW w:w="2177" w:type="dxa"/>
            <w:gridSpan w:val="2"/>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5229" w:type="dxa"/>
            <w:gridSpan w:val="8"/>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企业主要资质</w:t>
            </w:r>
          </w:p>
        </w:tc>
        <w:tc>
          <w:tcPr>
            <w:tcW w:w="2177" w:type="dxa"/>
            <w:gridSpan w:val="2"/>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695" w:type="dxa"/>
            <w:vMerge w:val="restart"/>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其中</w:t>
            </w:r>
          </w:p>
        </w:tc>
        <w:tc>
          <w:tcPr>
            <w:tcW w:w="2294" w:type="dxa"/>
            <w:gridSpan w:val="4"/>
            <w:noWrap w:val="0"/>
            <w:vAlign w:val="center"/>
          </w:tcPr>
          <w:p>
            <w:pPr>
              <w:spacing w:line="0" w:lineRule="atLeast"/>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从事抄表服务2年及以上的人员</w:t>
            </w:r>
          </w:p>
        </w:tc>
        <w:tc>
          <w:tcPr>
            <w:tcW w:w="2240" w:type="dxa"/>
            <w:gridSpan w:val="3"/>
            <w:noWrap w:val="0"/>
            <w:vAlign w:val="center"/>
          </w:tcPr>
          <w:p>
            <w:pPr>
              <w:spacing w:line="0" w:lineRule="atLeast"/>
              <w:rPr>
                <w:rFonts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4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营业执照号</w:t>
            </w:r>
          </w:p>
        </w:tc>
        <w:tc>
          <w:tcPr>
            <w:tcW w:w="2177" w:type="dxa"/>
            <w:gridSpan w:val="2"/>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695" w:type="dxa"/>
            <w:vMerge w:val="continue"/>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2294" w:type="dxa"/>
            <w:gridSpan w:val="4"/>
            <w:noWrap w:val="0"/>
            <w:vAlign w:val="center"/>
          </w:tcPr>
          <w:p>
            <w:pPr>
              <w:spacing w:line="0" w:lineRule="atLeast"/>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硕士/博士</w:t>
            </w:r>
          </w:p>
        </w:tc>
        <w:tc>
          <w:tcPr>
            <w:tcW w:w="2240" w:type="dxa"/>
            <w:gridSpan w:val="3"/>
            <w:noWrap w:val="0"/>
            <w:vAlign w:val="center"/>
          </w:tcPr>
          <w:p>
            <w:pPr>
              <w:spacing w:line="0" w:lineRule="atLeast"/>
              <w:rPr>
                <w:rFonts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4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注册资金</w:t>
            </w:r>
          </w:p>
        </w:tc>
        <w:tc>
          <w:tcPr>
            <w:tcW w:w="2177" w:type="dxa"/>
            <w:gridSpan w:val="2"/>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695" w:type="dxa"/>
            <w:vMerge w:val="continue"/>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2294" w:type="dxa"/>
            <w:gridSpan w:val="4"/>
            <w:noWrap w:val="0"/>
            <w:vAlign w:val="center"/>
          </w:tcPr>
          <w:p>
            <w:pPr>
              <w:spacing w:line="0" w:lineRule="atLeast"/>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本科</w:t>
            </w:r>
          </w:p>
        </w:tc>
        <w:tc>
          <w:tcPr>
            <w:tcW w:w="2240" w:type="dxa"/>
            <w:gridSpan w:val="3"/>
            <w:noWrap w:val="0"/>
            <w:vAlign w:val="center"/>
          </w:tcPr>
          <w:p>
            <w:pPr>
              <w:spacing w:line="0" w:lineRule="atLeast"/>
              <w:rPr>
                <w:rFonts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4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开户银行</w:t>
            </w:r>
          </w:p>
        </w:tc>
        <w:tc>
          <w:tcPr>
            <w:tcW w:w="2177" w:type="dxa"/>
            <w:gridSpan w:val="2"/>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695" w:type="dxa"/>
            <w:vMerge w:val="continue"/>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2294" w:type="dxa"/>
            <w:gridSpan w:val="4"/>
            <w:noWrap w:val="0"/>
            <w:vAlign w:val="center"/>
          </w:tcPr>
          <w:p>
            <w:pPr>
              <w:spacing w:line="0" w:lineRule="atLeast"/>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大专</w:t>
            </w:r>
          </w:p>
        </w:tc>
        <w:tc>
          <w:tcPr>
            <w:tcW w:w="2240" w:type="dxa"/>
            <w:gridSpan w:val="3"/>
            <w:noWrap w:val="0"/>
            <w:vAlign w:val="center"/>
          </w:tcPr>
          <w:p>
            <w:pPr>
              <w:spacing w:line="0" w:lineRule="atLeast"/>
              <w:rPr>
                <w:rFonts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4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账号</w:t>
            </w:r>
          </w:p>
        </w:tc>
        <w:tc>
          <w:tcPr>
            <w:tcW w:w="2177" w:type="dxa"/>
            <w:gridSpan w:val="2"/>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695" w:type="dxa"/>
            <w:vMerge w:val="continue"/>
            <w:noWrap w:val="0"/>
            <w:vAlign w:val="center"/>
          </w:tcPr>
          <w:p>
            <w:pPr>
              <w:spacing w:line="0" w:lineRule="atLeast"/>
              <w:jc w:val="center"/>
              <w:rPr>
                <w:rFonts w:ascii="宋体" w:hAnsi="宋体" w:eastAsia="宋体" w:cs="宋体"/>
                <w:snapToGrid w:val="0"/>
                <w:color w:val="auto"/>
                <w:kern w:val="0"/>
                <w:sz w:val="21"/>
                <w:szCs w:val="21"/>
                <w:highlight w:val="none"/>
              </w:rPr>
            </w:pPr>
          </w:p>
        </w:tc>
        <w:tc>
          <w:tcPr>
            <w:tcW w:w="2294" w:type="dxa"/>
            <w:gridSpan w:val="4"/>
            <w:noWrap w:val="0"/>
            <w:vAlign w:val="center"/>
          </w:tcPr>
          <w:p>
            <w:pPr>
              <w:spacing w:line="0" w:lineRule="atLeast"/>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高中</w:t>
            </w:r>
          </w:p>
        </w:tc>
        <w:tc>
          <w:tcPr>
            <w:tcW w:w="2240" w:type="dxa"/>
            <w:gridSpan w:val="3"/>
            <w:noWrap w:val="0"/>
            <w:vAlign w:val="center"/>
          </w:tcPr>
          <w:p>
            <w:pPr>
              <w:spacing w:line="0" w:lineRule="atLeast"/>
              <w:rPr>
                <w:rFonts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154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经营范围</w:t>
            </w:r>
          </w:p>
        </w:tc>
        <w:tc>
          <w:tcPr>
            <w:tcW w:w="7406" w:type="dxa"/>
            <w:gridSpan w:val="10"/>
            <w:noWrap w:val="0"/>
            <w:vAlign w:val="center"/>
          </w:tcPr>
          <w:p>
            <w:pPr>
              <w:spacing w:line="0" w:lineRule="atLeast"/>
              <w:rPr>
                <w:rFonts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547" w:type="dxa"/>
            <w:noWrap w:val="0"/>
            <w:vAlign w:val="center"/>
          </w:tcPr>
          <w:p>
            <w:pPr>
              <w:spacing w:line="0" w:lineRule="atLeast"/>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备注</w:t>
            </w:r>
          </w:p>
        </w:tc>
        <w:tc>
          <w:tcPr>
            <w:tcW w:w="7406" w:type="dxa"/>
            <w:gridSpan w:val="10"/>
            <w:noWrap w:val="0"/>
            <w:vAlign w:val="center"/>
          </w:tcPr>
          <w:p>
            <w:pPr>
              <w:spacing w:line="0" w:lineRule="atLeast"/>
              <w:jc w:val="center"/>
              <w:rPr>
                <w:rFonts w:ascii="宋体" w:hAnsi="宋体" w:eastAsia="宋体" w:cs="宋体"/>
                <w:snapToGrid w:val="0"/>
                <w:color w:val="auto"/>
                <w:kern w:val="0"/>
                <w:sz w:val="21"/>
                <w:szCs w:val="21"/>
                <w:highlight w:val="none"/>
              </w:rPr>
            </w:pPr>
          </w:p>
        </w:tc>
      </w:tr>
    </w:tbl>
    <w:p>
      <w:pPr>
        <w:pStyle w:val="5"/>
        <w:jc w:val="center"/>
        <w:rPr>
          <w:rFonts w:ascii="宋体" w:hAnsi="宋体" w:eastAsia="宋体" w:cs="宋体"/>
          <w:snapToGrid w:val="0"/>
          <w:color w:val="auto"/>
          <w:highlight w:val="none"/>
        </w:rPr>
      </w:pPr>
      <w:bookmarkStart w:id="463" w:name="_Toc277082661"/>
      <w:bookmarkStart w:id="464" w:name="_Toc287607889"/>
      <w:bookmarkStart w:id="465" w:name="_Toc224103516"/>
      <w:r>
        <w:rPr>
          <w:rFonts w:hint="eastAsia" w:ascii="宋体" w:hAnsi="宋体" w:eastAsia="宋体" w:cs="宋体"/>
          <w:snapToGrid w:val="0"/>
          <w:color w:val="auto"/>
          <w:highlight w:val="none"/>
        </w:rPr>
        <w:br w:type="page"/>
      </w:r>
      <w:bookmarkStart w:id="466" w:name="_Toc516620672"/>
      <w:bookmarkStart w:id="467" w:name="_Toc9145"/>
      <w:bookmarkStart w:id="468" w:name="_Toc451732673"/>
      <w:bookmarkStart w:id="469" w:name="_Toc8339_WPSOffice_Level1"/>
      <w:bookmarkStart w:id="470" w:name="_Toc342252677"/>
      <w:bookmarkStart w:id="471" w:name="_Toc342906457"/>
      <w:bookmarkStart w:id="472" w:name="_Toc342252493"/>
      <w:bookmarkStart w:id="473" w:name="_Toc27654_WPSOffice_Level1"/>
      <w:r>
        <w:rPr>
          <w:rFonts w:hint="eastAsia" w:ascii="宋体" w:hAnsi="宋体" w:eastAsia="宋体" w:cs="宋体"/>
          <w:snapToGrid w:val="0"/>
          <w:color w:val="auto"/>
          <w:sz w:val="32"/>
          <w:highlight w:val="none"/>
        </w:rPr>
        <w:t>（三）</w:t>
      </w:r>
      <w:bookmarkEnd w:id="463"/>
      <w:bookmarkEnd w:id="464"/>
      <w:bookmarkEnd w:id="465"/>
      <w:bookmarkEnd w:id="466"/>
      <w:bookmarkEnd w:id="467"/>
      <w:bookmarkEnd w:id="468"/>
      <w:bookmarkEnd w:id="469"/>
      <w:bookmarkEnd w:id="470"/>
      <w:bookmarkEnd w:id="471"/>
      <w:bookmarkEnd w:id="472"/>
      <w:bookmarkStart w:id="474" w:name="_Toc31134_WPSOffice_Level1"/>
      <w:bookmarkStart w:id="475" w:name="_Toc342252678"/>
      <w:bookmarkStart w:id="476" w:name="_Toc516620673"/>
      <w:bookmarkStart w:id="477" w:name="_Toc342252494"/>
      <w:bookmarkStart w:id="478" w:name="_Toc342906458"/>
      <w:bookmarkStart w:id="479" w:name="_Toc451732674"/>
      <w:bookmarkStart w:id="480" w:name="_Toc3859"/>
      <w:r>
        <w:rPr>
          <w:rFonts w:hint="eastAsia" w:ascii="宋体" w:hAnsi="宋体" w:eastAsia="宋体" w:cs="宋体"/>
          <w:snapToGrid w:val="0"/>
          <w:color w:val="auto"/>
          <w:sz w:val="32"/>
          <w:highlight w:val="none"/>
        </w:rPr>
        <w:t>营业执照</w:t>
      </w:r>
      <w:bookmarkEnd w:id="473"/>
      <w:bookmarkEnd w:id="474"/>
      <w:bookmarkEnd w:id="475"/>
      <w:bookmarkEnd w:id="476"/>
      <w:bookmarkEnd w:id="477"/>
      <w:bookmarkEnd w:id="478"/>
      <w:bookmarkEnd w:id="479"/>
      <w:bookmarkEnd w:id="480"/>
    </w:p>
    <w:p>
      <w:pPr>
        <w:pStyle w:val="5"/>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须提供营业执照复印件，加盖投标人公章</w:t>
      </w:r>
    </w:p>
    <w:p>
      <w:pPr>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44"/>
        <w:rPr>
          <w:rFonts w:hint="eastAsia" w:ascii="宋体" w:hAnsi="宋体" w:eastAsia="宋体" w:cs="Times New Roman"/>
          <w:color w:val="auto"/>
          <w:sz w:val="21"/>
          <w:szCs w:val="21"/>
          <w:highlight w:val="none"/>
          <w:lang w:val="en-US" w:eastAsia="zh-CN"/>
        </w:rPr>
      </w:pPr>
    </w:p>
    <w:p>
      <w:pPr>
        <w:pStyle w:val="5"/>
        <w:numPr>
          <w:ilvl w:val="0"/>
          <w:numId w:val="6"/>
        </w:numPr>
        <w:jc w:val="center"/>
        <w:rPr>
          <w:rFonts w:hint="eastAsia" w:ascii="宋体" w:hAnsi="宋体" w:eastAsia="宋体" w:cs="宋体"/>
          <w:snapToGrid w:val="0"/>
          <w:color w:val="auto"/>
          <w:sz w:val="32"/>
          <w:highlight w:val="none"/>
        </w:rPr>
      </w:pPr>
      <w:bookmarkStart w:id="481" w:name="_Toc672"/>
      <w:bookmarkStart w:id="482" w:name="_Toc451732676"/>
      <w:bookmarkStart w:id="483" w:name="_Toc516620674"/>
      <w:bookmarkStart w:id="484" w:name="_Toc9261_WPSOffice_Level1"/>
      <w:bookmarkStart w:id="485" w:name="_Toc342906460"/>
      <w:bookmarkStart w:id="486" w:name="_Toc342252496"/>
      <w:bookmarkStart w:id="487" w:name="_Toc12028_WPSOffice_Level1"/>
      <w:bookmarkStart w:id="488" w:name="_Toc342252680"/>
      <w:r>
        <w:rPr>
          <w:rFonts w:hint="eastAsia" w:ascii="宋体" w:hAnsi="宋体" w:eastAsia="宋体" w:cs="宋体"/>
          <w:snapToGrid w:val="0"/>
          <w:color w:val="auto"/>
          <w:sz w:val="32"/>
          <w:highlight w:val="none"/>
        </w:rPr>
        <w:t>业绩要求</w:t>
      </w:r>
    </w:p>
    <w:p>
      <w:pPr>
        <w:spacing w:line="440" w:lineRule="exact"/>
        <w:ind w:firstLine="2520" w:firstLineChars="1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须提供合同协议书复印件</w:t>
      </w:r>
      <w:r>
        <w:rPr>
          <w:rFonts w:hint="eastAsia" w:ascii="宋体" w:hAnsi="宋体" w:eastAsia="宋体" w:cs="宋体"/>
          <w:snapToGrid w:val="0"/>
          <w:color w:val="auto"/>
          <w:kern w:val="0"/>
          <w:sz w:val="21"/>
          <w:szCs w:val="21"/>
          <w:highlight w:val="none"/>
          <w:lang w:val="en-US" w:eastAsia="zh-CN"/>
        </w:rPr>
        <w:t>加盖投标人公章</w:t>
      </w:r>
      <w:r>
        <w:rPr>
          <w:rFonts w:hint="eastAsia" w:ascii="宋体" w:hAnsi="宋体" w:eastAsia="宋体" w:cs="Times New Roman"/>
          <w:color w:val="auto"/>
          <w:sz w:val="21"/>
          <w:szCs w:val="21"/>
          <w:highlight w:val="none"/>
          <w:lang w:val="en-US" w:eastAsia="zh-CN"/>
        </w:rPr>
        <w:t>。</w:t>
      </w:r>
    </w:p>
    <w:p>
      <w:pPr>
        <w:numPr>
          <w:ilvl w:val="0"/>
          <w:numId w:val="0"/>
        </w:numPr>
        <w:rPr>
          <w:rFonts w:hint="default" w:eastAsia="微软雅黑"/>
          <w:color w:val="auto"/>
          <w:highlight w:val="none"/>
          <w:lang w:val="en-US" w:eastAsia="zh-CN"/>
        </w:rPr>
      </w:pPr>
    </w:p>
    <w:p>
      <w:pPr>
        <w:pStyle w:val="5"/>
        <w:pageBreakBefore/>
        <w:spacing w:line="415" w:lineRule="auto"/>
        <w:jc w:val="center"/>
        <w:rPr>
          <w:rFonts w:ascii="宋体" w:hAnsi="宋体" w:eastAsia="宋体" w:cs="宋体"/>
          <w:snapToGrid w:val="0"/>
          <w:color w:val="auto"/>
          <w:sz w:val="32"/>
          <w:highlight w:val="none"/>
        </w:rPr>
      </w:pPr>
      <w:r>
        <w:rPr>
          <w:rFonts w:hint="eastAsia" w:ascii="宋体" w:hAnsi="宋体" w:eastAsia="宋体" w:cs="宋体"/>
          <w:snapToGrid w:val="0"/>
          <w:color w:val="auto"/>
          <w:sz w:val="32"/>
          <w:highlight w:val="none"/>
        </w:rPr>
        <w:t>（五）投标保证金</w:t>
      </w:r>
      <w:bookmarkEnd w:id="481"/>
      <w:bookmarkEnd w:id="482"/>
      <w:bookmarkEnd w:id="483"/>
      <w:bookmarkEnd w:id="484"/>
      <w:bookmarkEnd w:id="485"/>
      <w:bookmarkEnd w:id="486"/>
      <w:bookmarkEnd w:id="487"/>
      <w:bookmarkEnd w:id="488"/>
    </w:p>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1. 投标保证金</w:t>
      </w:r>
    </w:p>
    <w:p>
      <w:pPr>
        <w:spacing w:line="360" w:lineRule="auto"/>
        <w:ind w:firstLine="360" w:firstLineChars="200"/>
        <w:rPr>
          <w:rFonts w:ascii="宋体" w:hAnsi="宋体"/>
          <w:i/>
          <w:iCs/>
          <w:color w:val="auto"/>
          <w:sz w:val="18"/>
          <w:szCs w:val="18"/>
          <w:highlight w:val="none"/>
        </w:rPr>
      </w:pPr>
      <w:r>
        <w:rPr>
          <w:rFonts w:ascii="宋体" w:hAnsi="宋体"/>
          <w:i/>
          <w:iCs/>
          <w:color w:val="auto"/>
          <w:sz w:val="18"/>
          <w:szCs w:val="18"/>
          <w:highlight w:val="none"/>
        </w:rPr>
        <w:t>[提示：以转账支票或电汇形式交纳投标保证金的提供以下资料]</w:t>
      </w:r>
    </w:p>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（1）企业基本账户开户证明文件；</w:t>
      </w:r>
    </w:p>
    <w:p>
      <w:pPr>
        <w:spacing w:line="360" w:lineRule="auto"/>
        <w:ind w:firstLine="360" w:firstLineChars="200"/>
        <w:rPr>
          <w:rFonts w:ascii="宋体" w:hAnsi="宋体"/>
          <w:i/>
          <w:iCs/>
          <w:color w:val="auto"/>
          <w:sz w:val="18"/>
          <w:szCs w:val="18"/>
          <w:highlight w:val="none"/>
        </w:rPr>
      </w:pPr>
      <w:r>
        <w:rPr>
          <w:rFonts w:ascii="宋体" w:hAnsi="宋体"/>
          <w:i/>
          <w:iCs/>
          <w:color w:val="auto"/>
          <w:sz w:val="18"/>
          <w:szCs w:val="18"/>
          <w:highlight w:val="none"/>
        </w:rPr>
        <w:t>[提示：以</w:t>
      </w:r>
      <w:r>
        <w:rPr>
          <w:rFonts w:hint="eastAsia" w:ascii="宋体" w:hAnsi="宋体"/>
          <w:i/>
          <w:iCs/>
          <w:color w:val="auto"/>
          <w:sz w:val="18"/>
          <w:szCs w:val="18"/>
          <w:highlight w:val="none"/>
        </w:rPr>
        <w:t>纸质投标保函</w:t>
      </w:r>
      <w:r>
        <w:rPr>
          <w:rFonts w:ascii="宋体" w:hAnsi="宋体"/>
          <w:i/>
          <w:iCs/>
          <w:color w:val="auto"/>
          <w:sz w:val="18"/>
          <w:szCs w:val="18"/>
          <w:highlight w:val="none"/>
        </w:rPr>
        <w:t>形式交纳投标保证金的提供以下资料]</w:t>
      </w:r>
    </w:p>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（1）纸质投标保函正本；</w:t>
      </w:r>
    </w:p>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（2）纸质投标保函的核验地点、方式和联系人；</w:t>
      </w:r>
    </w:p>
    <w:p>
      <w:pPr>
        <w:rPr>
          <w:rFonts w:ascii="宋体" w:hAnsi="宋体" w:eastAsia="宋体" w:cs="宋体"/>
          <w:snapToGrid w:val="0"/>
          <w:color w:val="auto"/>
          <w:kern w:val="0"/>
          <w:sz w:val="21"/>
          <w:szCs w:val="21"/>
          <w:highlight w:val="none"/>
        </w:rPr>
      </w:pPr>
    </w:p>
    <w:p>
      <w:pPr>
        <w:ind w:firstLine="484" w:firstLineChars="202"/>
        <w:rPr>
          <w:rFonts w:ascii="宋体" w:hAnsi="宋体" w:eastAsia="宋体" w:cs="宋体"/>
          <w:snapToGrid w:val="0"/>
          <w:color w:val="auto"/>
          <w:kern w:val="0"/>
          <w:highlight w:val="none"/>
        </w:rPr>
      </w:pPr>
    </w:p>
    <w:p>
      <w:pPr>
        <w:ind w:firstLine="484" w:firstLineChars="202"/>
        <w:rPr>
          <w:rFonts w:ascii="宋体" w:hAnsi="宋体" w:eastAsia="宋体" w:cs="宋体"/>
          <w:snapToGrid w:val="0"/>
          <w:color w:val="auto"/>
          <w:kern w:val="0"/>
          <w:highlight w:val="none"/>
        </w:rPr>
      </w:pPr>
    </w:p>
    <w:p>
      <w:pPr>
        <w:pStyle w:val="5"/>
        <w:jc w:val="center"/>
        <w:rPr>
          <w:rFonts w:ascii="宋体" w:hAnsi="宋体" w:eastAsia="宋体" w:cs="宋体"/>
          <w:snapToGrid w:val="0"/>
          <w:color w:val="auto"/>
          <w:highlight w:val="none"/>
        </w:rPr>
      </w:pPr>
      <w:r>
        <w:rPr>
          <w:rFonts w:hint="eastAsia" w:ascii="宋体" w:hAnsi="宋体" w:eastAsia="宋体" w:cs="宋体"/>
          <w:snapToGrid w:val="0"/>
          <w:color w:val="auto"/>
          <w:highlight w:val="none"/>
        </w:rPr>
        <w:br w:type="page"/>
      </w:r>
      <w:bookmarkStart w:id="489" w:name="_Toc28067_WPSOffice_Level1"/>
      <w:bookmarkStart w:id="490" w:name="_Toc224103520"/>
      <w:bookmarkStart w:id="491" w:name="_Toc516620676"/>
      <w:bookmarkStart w:id="492" w:name="_Toc287607893"/>
      <w:bookmarkStart w:id="493" w:name="_Toc14179_WPSOffice_Level1"/>
      <w:bookmarkStart w:id="494" w:name="_Toc451732678"/>
      <w:bookmarkStart w:id="495" w:name="_Toc15479"/>
      <w:bookmarkStart w:id="496" w:name="_Toc277082663"/>
      <w:bookmarkStart w:id="497" w:name="_Toc342906462"/>
      <w:r>
        <w:rPr>
          <w:rFonts w:hint="eastAsia" w:ascii="宋体" w:hAnsi="宋体" w:eastAsia="宋体" w:cs="宋体"/>
          <w:snapToGrid w:val="0"/>
          <w:color w:val="auto"/>
          <w:sz w:val="32"/>
          <w:highlight w:val="none"/>
        </w:rPr>
        <w:t>（六）其他资料</w:t>
      </w:r>
      <w:bookmarkEnd w:id="489"/>
      <w:bookmarkEnd w:id="490"/>
      <w:bookmarkEnd w:id="491"/>
      <w:bookmarkEnd w:id="492"/>
      <w:bookmarkEnd w:id="493"/>
      <w:bookmarkEnd w:id="494"/>
      <w:bookmarkEnd w:id="495"/>
      <w:bookmarkEnd w:id="496"/>
      <w:bookmarkEnd w:id="497"/>
    </w:p>
    <w:p>
      <w:pPr>
        <w:ind w:firstLine="420" w:firstLineChars="200"/>
        <w:jc w:val="center"/>
        <w:rPr>
          <w:rFonts w:hint="eastAsia" w:ascii="宋体" w:hAnsi="宋体" w:eastAsia="宋体" w:cs="宋体"/>
          <w:snapToGrid w:val="0"/>
          <w:color w:val="auto"/>
          <w:kern w:val="0"/>
          <w:sz w:val="21"/>
          <w:szCs w:val="21"/>
          <w:highlight w:val="none"/>
        </w:rPr>
      </w:pPr>
      <w:bookmarkStart w:id="498" w:name="_Toc3343_WPSOffice_Level2"/>
      <w:bookmarkStart w:id="499" w:name="_Toc6456_WPSOffice_Level2"/>
      <w:r>
        <w:rPr>
          <w:rFonts w:hint="eastAsia" w:ascii="宋体" w:hAnsi="宋体" w:eastAsia="宋体" w:cs="宋体"/>
          <w:snapToGrid w:val="0"/>
          <w:color w:val="auto"/>
          <w:kern w:val="0"/>
          <w:sz w:val="21"/>
          <w:szCs w:val="21"/>
          <w:highlight w:val="none"/>
        </w:rPr>
        <w:t>招标文件规定的资料及投标人认为需要提供的其他资料</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加盖投标人公章</w:t>
      </w:r>
      <w:r>
        <w:rPr>
          <w:rFonts w:hint="eastAsia" w:ascii="宋体" w:hAnsi="宋体" w:eastAsia="宋体" w:cs="宋体"/>
          <w:snapToGrid w:val="0"/>
          <w:color w:val="auto"/>
          <w:kern w:val="0"/>
          <w:sz w:val="21"/>
          <w:szCs w:val="21"/>
          <w:highlight w:val="none"/>
        </w:rPr>
        <w:t>。</w:t>
      </w:r>
      <w:bookmarkEnd w:id="498"/>
      <w:bookmarkEnd w:id="499"/>
    </w:p>
    <w:p>
      <w:pP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br w:type="page"/>
      </w:r>
    </w:p>
    <w:p>
      <w:pPr>
        <w:spacing w:line="360" w:lineRule="auto"/>
        <w:ind w:firstLine="360" w:firstLineChars="200"/>
        <w:rPr>
          <w:rFonts w:hint="eastAsia" w:ascii="宋体" w:hAnsi="宋体"/>
          <w:color w:val="auto"/>
          <w:sz w:val="18"/>
          <w:szCs w:val="18"/>
          <w:highlight w:val="none"/>
          <w:lang w:eastAsia="zh-CN"/>
        </w:rPr>
      </w:pPr>
      <w:r>
        <w:rPr>
          <w:rFonts w:hint="eastAsia" w:ascii="宋体" w:hAnsi="宋体"/>
          <w:color w:val="auto"/>
          <w:sz w:val="18"/>
          <w:szCs w:val="18"/>
          <w:highlight w:val="none"/>
        </w:rPr>
        <w:t>纸质投标保函</w:t>
      </w:r>
      <w:r>
        <w:rPr>
          <w:rFonts w:hint="eastAsia" w:ascii="宋体" w:hAnsi="宋体"/>
          <w:color w:val="auto"/>
          <w:sz w:val="18"/>
          <w:szCs w:val="18"/>
          <w:highlight w:val="none"/>
          <w:lang w:eastAsia="zh-CN"/>
        </w:rPr>
        <w:t>（如有）</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overflowPunct w:val="0"/>
        <w:spacing w:beforeLines="0" w:line="360" w:lineRule="auto"/>
        <w:ind w:firstLine="396" w:firstLineChars="200"/>
        <w:outlineLvl w:val="9"/>
        <w:rPr>
          <w:rFonts w:hint="eastAsia" w:asciiTheme="minorEastAsia" w:hAnsiTheme="minorEastAsia" w:eastAsiaTheme="minorEastAsia" w:cstheme="minorEastAsia"/>
          <w:color w:val="auto"/>
          <w:spacing w:val="-6"/>
          <w:kern w:val="0"/>
          <w:sz w:val="21"/>
          <w:szCs w:val="21"/>
          <w:highlight w:val="none"/>
          <w:lang w:eastAsia="zh-CN"/>
        </w:rPr>
      </w:pPr>
      <w:r>
        <w:rPr>
          <w:rFonts w:hint="eastAsia" w:asciiTheme="minorEastAsia" w:hAnsiTheme="minorEastAsia" w:eastAsiaTheme="minorEastAsia" w:cstheme="minorEastAsia"/>
          <w:color w:val="auto"/>
          <w:spacing w:val="-6"/>
          <w:kern w:val="0"/>
          <w:sz w:val="21"/>
          <w:szCs w:val="21"/>
          <w:highlight w:val="none"/>
          <w:lang w:eastAsia="zh-CN"/>
        </w:rPr>
        <w:t>申请人：</w:t>
      </w:r>
    </w:p>
    <w:p>
      <w:pPr>
        <w:overflowPunct w:val="0"/>
        <w:spacing w:beforeLines="0" w:line="360" w:lineRule="auto"/>
        <w:ind w:firstLine="396" w:firstLineChars="200"/>
        <w:outlineLvl w:val="9"/>
        <w:rPr>
          <w:rFonts w:hint="eastAsia" w:asciiTheme="minorEastAsia" w:hAnsiTheme="minorEastAsia" w:eastAsiaTheme="minorEastAsia" w:cstheme="minorEastAsia"/>
          <w:color w:val="auto"/>
          <w:spacing w:val="-6"/>
          <w:kern w:val="0"/>
          <w:sz w:val="21"/>
          <w:szCs w:val="21"/>
          <w:highlight w:val="none"/>
          <w:lang w:eastAsia="zh-CN"/>
        </w:rPr>
      </w:pPr>
      <w:r>
        <w:rPr>
          <w:rFonts w:hint="eastAsia" w:asciiTheme="minorEastAsia" w:hAnsiTheme="minorEastAsia" w:eastAsiaTheme="minorEastAsia" w:cstheme="minorEastAsia"/>
          <w:color w:val="auto"/>
          <w:spacing w:val="-6"/>
          <w:kern w:val="0"/>
          <w:sz w:val="21"/>
          <w:szCs w:val="21"/>
          <w:highlight w:val="none"/>
          <w:lang w:eastAsia="zh-CN"/>
        </w:rPr>
        <w:t>地</w:t>
      </w:r>
      <w:r>
        <w:rPr>
          <w:rFonts w:hint="eastAsia" w:asciiTheme="minorEastAsia" w:hAnsiTheme="minorEastAsia" w:eastAsiaTheme="minorEastAsia" w:cstheme="minorEastAsia"/>
          <w:color w:val="auto"/>
          <w:spacing w:val="-6"/>
          <w:kern w:val="0"/>
          <w:sz w:val="21"/>
          <w:szCs w:val="21"/>
          <w:highlight w:val="none"/>
          <w:lang w:val="en-US" w:eastAsia="zh-CN"/>
        </w:rPr>
        <w:t xml:space="preserve">  </w:t>
      </w:r>
      <w:r>
        <w:rPr>
          <w:rFonts w:hint="eastAsia" w:asciiTheme="minorEastAsia" w:hAnsiTheme="minorEastAsia" w:eastAsiaTheme="minorEastAsia" w:cstheme="minorEastAsia"/>
          <w:color w:val="auto"/>
          <w:spacing w:val="-6"/>
          <w:kern w:val="0"/>
          <w:sz w:val="21"/>
          <w:szCs w:val="21"/>
          <w:highlight w:val="none"/>
          <w:lang w:eastAsia="zh-CN"/>
        </w:rPr>
        <w:t>址：</w:t>
      </w:r>
    </w:p>
    <w:p>
      <w:pPr>
        <w:overflowPunct w:val="0"/>
        <w:spacing w:beforeLines="0" w:line="360" w:lineRule="auto"/>
        <w:ind w:firstLine="396" w:firstLineChars="200"/>
        <w:outlineLvl w:val="9"/>
        <w:rPr>
          <w:rFonts w:hint="eastAsia" w:asciiTheme="minorEastAsia" w:hAnsiTheme="minorEastAsia" w:eastAsiaTheme="minorEastAsia" w:cstheme="minorEastAsia"/>
          <w:color w:val="auto"/>
          <w:spacing w:val="-6"/>
          <w:kern w:val="0"/>
          <w:sz w:val="21"/>
          <w:szCs w:val="21"/>
          <w:highlight w:val="none"/>
          <w:lang w:eastAsia="zh-CN"/>
        </w:rPr>
      </w:pPr>
      <w:r>
        <w:rPr>
          <w:rFonts w:hint="eastAsia" w:asciiTheme="minorEastAsia" w:hAnsiTheme="minorEastAsia" w:eastAsiaTheme="minorEastAsia" w:cstheme="minorEastAsia"/>
          <w:color w:val="auto"/>
          <w:spacing w:val="-6"/>
          <w:kern w:val="0"/>
          <w:sz w:val="21"/>
          <w:szCs w:val="21"/>
          <w:highlight w:val="none"/>
          <w:lang w:eastAsia="zh-CN"/>
        </w:rPr>
        <w:t>受益人：</w:t>
      </w:r>
    </w:p>
    <w:p>
      <w:pPr>
        <w:overflowPunct w:val="0"/>
        <w:spacing w:beforeLines="0" w:line="360" w:lineRule="auto"/>
        <w:ind w:firstLine="396" w:firstLineChars="200"/>
        <w:outlineLvl w:val="9"/>
        <w:rPr>
          <w:rFonts w:hint="eastAsia" w:asciiTheme="minorEastAsia" w:hAnsiTheme="minorEastAsia" w:eastAsiaTheme="minorEastAsia" w:cstheme="minorEastAsia"/>
          <w:color w:val="auto"/>
          <w:spacing w:val="-6"/>
          <w:kern w:val="0"/>
          <w:sz w:val="21"/>
          <w:szCs w:val="21"/>
          <w:highlight w:val="none"/>
          <w:lang w:eastAsia="zh-CN"/>
        </w:rPr>
      </w:pPr>
      <w:r>
        <w:rPr>
          <w:rFonts w:hint="eastAsia" w:asciiTheme="minorEastAsia" w:hAnsiTheme="minorEastAsia" w:eastAsiaTheme="minorEastAsia" w:cstheme="minorEastAsia"/>
          <w:color w:val="auto"/>
          <w:spacing w:val="-6"/>
          <w:kern w:val="0"/>
          <w:sz w:val="21"/>
          <w:szCs w:val="21"/>
          <w:highlight w:val="none"/>
          <w:lang w:eastAsia="zh-CN"/>
        </w:rPr>
        <w:t>地</w:t>
      </w:r>
      <w:r>
        <w:rPr>
          <w:rFonts w:hint="eastAsia" w:asciiTheme="minorEastAsia" w:hAnsiTheme="minorEastAsia" w:eastAsiaTheme="minorEastAsia" w:cstheme="minorEastAsia"/>
          <w:color w:val="auto"/>
          <w:spacing w:val="-6"/>
          <w:kern w:val="0"/>
          <w:sz w:val="21"/>
          <w:szCs w:val="21"/>
          <w:highlight w:val="none"/>
          <w:lang w:val="en-US" w:eastAsia="zh-CN"/>
        </w:rPr>
        <w:t xml:space="preserve">  </w:t>
      </w:r>
      <w:r>
        <w:rPr>
          <w:rFonts w:hint="eastAsia" w:asciiTheme="minorEastAsia" w:hAnsiTheme="minorEastAsia" w:eastAsiaTheme="minorEastAsia" w:cstheme="minorEastAsia"/>
          <w:color w:val="auto"/>
          <w:spacing w:val="-6"/>
          <w:kern w:val="0"/>
          <w:sz w:val="21"/>
          <w:szCs w:val="21"/>
          <w:highlight w:val="none"/>
          <w:lang w:eastAsia="zh-CN"/>
        </w:rPr>
        <w:t>址：</w:t>
      </w:r>
    </w:p>
    <w:p>
      <w:pPr>
        <w:overflowPunct w:val="0"/>
        <w:spacing w:beforeLines="0" w:line="360" w:lineRule="auto"/>
        <w:ind w:firstLine="396" w:firstLineChars="200"/>
        <w:outlineLvl w:val="9"/>
        <w:rPr>
          <w:rFonts w:hint="eastAsia" w:asciiTheme="minorEastAsia" w:hAnsiTheme="minorEastAsia" w:eastAsiaTheme="minorEastAsia" w:cstheme="minorEastAsia"/>
          <w:color w:val="auto"/>
          <w:spacing w:val="-6"/>
          <w:kern w:val="0"/>
          <w:sz w:val="21"/>
          <w:szCs w:val="21"/>
          <w:highlight w:val="none"/>
          <w:lang w:eastAsia="zh-CN"/>
        </w:rPr>
      </w:pPr>
      <w:r>
        <w:rPr>
          <w:rFonts w:hint="eastAsia" w:asciiTheme="minorEastAsia" w:hAnsiTheme="minorEastAsia" w:eastAsiaTheme="minorEastAsia" w:cstheme="minorEastAsia"/>
          <w:color w:val="auto"/>
          <w:spacing w:val="-6"/>
          <w:kern w:val="0"/>
          <w:sz w:val="21"/>
          <w:szCs w:val="21"/>
          <w:highlight w:val="none"/>
          <w:lang w:eastAsia="zh-CN"/>
        </w:rPr>
        <w:t>开立人：</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Theme="minorEastAsia" w:hAnsiTheme="minorEastAsia" w:eastAsiaTheme="minorEastAsia" w:cstheme="minorEastAsia"/>
          <w:color w:val="auto"/>
          <w:spacing w:val="-6"/>
          <w:kern w:val="0"/>
          <w:sz w:val="21"/>
          <w:szCs w:val="21"/>
          <w:highlight w:val="none"/>
          <w:u w:val="none"/>
        </w:rPr>
      </w:pPr>
      <w:r>
        <w:rPr>
          <w:rFonts w:hint="eastAsia" w:asciiTheme="minorEastAsia" w:hAnsiTheme="minorEastAsia" w:eastAsiaTheme="minorEastAsia" w:cstheme="minorEastAsia"/>
          <w:color w:val="auto"/>
          <w:spacing w:val="-6"/>
          <w:kern w:val="0"/>
          <w:sz w:val="21"/>
          <w:szCs w:val="21"/>
          <w:highlight w:val="none"/>
          <w:lang w:eastAsia="zh-CN"/>
        </w:rPr>
        <w:t>地</w:t>
      </w:r>
      <w:r>
        <w:rPr>
          <w:rFonts w:hint="eastAsia" w:asciiTheme="minorEastAsia" w:hAnsiTheme="minorEastAsia" w:eastAsiaTheme="minorEastAsia" w:cstheme="minorEastAsia"/>
          <w:color w:val="auto"/>
          <w:spacing w:val="-6"/>
          <w:kern w:val="0"/>
          <w:sz w:val="21"/>
          <w:szCs w:val="21"/>
          <w:highlight w:val="none"/>
          <w:lang w:val="en-US" w:eastAsia="zh-CN"/>
        </w:rPr>
        <w:t xml:space="preserve">  </w:t>
      </w:r>
      <w:r>
        <w:rPr>
          <w:rFonts w:hint="eastAsia" w:asciiTheme="minorEastAsia" w:hAnsiTheme="minorEastAsia" w:eastAsiaTheme="minorEastAsia" w:cstheme="minorEastAsia"/>
          <w:color w:val="auto"/>
          <w:spacing w:val="-6"/>
          <w:kern w:val="0"/>
          <w:sz w:val="21"/>
          <w:szCs w:val="21"/>
          <w:highlight w:val="none"/>
          <w:lang w:eastAsia="zh-CN"/>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（受益人名称）</w:t>
      </w:r>
      <w:r>
        <w:rPr>
          <w:rFonts w:hint="eastAsia" w:asciiTheme="minorEastAsia" w:hAnsiTheme="minorEastAsia" w:eastAsiaTheme="minorEastAsia" w:cstheme="minorEastAsia"/>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kern w:val="0"/>
          <w:sz w:val="21"/>
          <w:szCs w:val="21"/>
          <w:highlight w:val="none"/>
          <w:lang w:val="en-US" w:eastAsia="zh-CN" w:bidi="ar-SA"/>
        </w:rPr>
        <w:t>我方（即“开立人”）已获得通知，本保函申请人（即“投标人”）已响应贵方于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w:t>
      </w:r>
      <w:r>
        <w:rPr>
          <w:rFonts w:hint="eastAsia" w:asciiTheme="minorEastAsia" w:hAnsiTheme="minorEastAsia" w:eastAsiaTheme="minorEastAsia" w:cstheme="minorEastAsia"/>
          <w:color w:val="auto"/>
          <w:spacing w:val="-6"/>
          <w:kern w:val="0"/>
          <w:sz w:val="21"/>
          <w:szCs w:val="21"/>
          <w:highlight w:val="none"/>
          <w:lang w:val="en-US" w:eastAsia="zh-CN" w:bidi="ar-SA"/>
        </w:rPr>
        <w:t>就</w:t>
      </w:r>
      <w:r>
        <w:rPr>
          <w:rFonts w:hint="eastAsia" w:asciiTheme="minorEastAsia" w:hAnsiTheme="minorEastAsia" w:eastAsiaTheme="minorEastAsia" w:cstheme="minorEastAsia"/>
          <w:color w:val="auto"/>
          <w:spacing w:val="-6"/>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0"/>
          <w:sz w:val="21"/>
          <w:szCs w:val="21"/>
          <w:highlight w:val="none"/>
          <w:lang w:val="en-US" w:eastAsia="zh-CN" w:bidi="ar-SA"/>
        </w:rPr>
        <w:t>元（¥</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三、本保函为不可撤销、不可转让的见索即付保函。本保函有效期自开立之日起至投标有效期届满之日后的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日</w:t>
      </w:r>
      <w:r>
        <w:rPr>
          <w:rFonts w:hint="eastAsia" w:asciiTheme="minorEastAsia" w:hAnsiTheme="minorEastAsia" w:eastAsiaTheme="minorEastAsia" w:cstheme="minorEastAsia"/>
          <w:color w:val="auto"/>
          <w:kern w:val="2"/>
          <w:sz w:val="21"/>
          <w:szCs w:val="21"/>
          <w:highlight w:val="none"/>
          <w:lang w:eastAsia="zh-CN"/>
        </w:rPr>
        <w:t>止（提示：建议</w:t>
      </w:r>
      <w:r>
        <w:rPr>
          <w:rFonts w:hint="eastAsia" w:asciiTheme="minorEastAsia" w:hAnsiTheme="minorEastAsia" w:eastAsiaTheme="minorEastAsia" w:cstheme="minorEastAsia"/>
          <w:color w:val="auto"/>
          <w:kern w:val="2"/>
          <w:sz w:val="21"/>
          <w:szCs w:val="21"/>
          <w:highlight w:val="none"/>
          <w:lang w:val="en-US" w:eastAsia="zh-CN"/>
        </w:rPr>
        <w:t>30日</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。投标有效期延长的，本保函有效期相应顺延，最迟不超过</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w:t>
      </w:r>
      <w:r>
        <w:rPr>
          <w:rFonts w:hint="eastAsia" w:asciiTheme="minorEastAsia" w:hAnsiTheme="minorEastAsia" w:eastAsiaTheme="minorEastAsia" w:cstheme="minorEastAsia"/>
          <w:color w:val="auto"/>
          <w:kern w:val="2"/>
          <w:sz w:val="21"/>
          <w:szCs w:val="21"/>
          <w:highlight w:val="none"/>
          <w:lang w:eastAsia="zh-CN"/>
        </w:rPr>
        <w:t>（提示：建议按保函有效期不超过</w:t>
      </w:r>
      <w:r>
        <w:rPr>
          <w:rFonts w:hint="eastAsia" w:asciiTheme="minorEastAsia" w:hAnsiTheme="minorEastAsia" w:eastAsiaTheme="minorEastAsia" w:cstheme="minorEastAsia"/>
          <w:color w:val="auto"/>
          <w:kern w:val="2"/>
          <w:sz w:val="21"/>
          <w:szCs w:val="21"/>
          <w:highlight w:val="none"/>
          <w:lang w:val="en-US" w:eastAsia="zh-CN"/>
        </w:rPr>
        <w:t>270日考虑</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四、</w:t>
      </w:r>
      <w:r>
        <w:rPr>
          <w:rFonts w:hint="eastAsia" w:asciiTheme="minorEastAsia" w:hAnsiTheme="minorEastAsia" w:eastAsiaTheme="minorEastAsia" w:cstheme="minorEastAsia"/>
          <w:color w:val="auto"/>
          <w:kern w:val="2"/>
          <w:sz w:val="21"/>
          <w:szCs w:val="21"/>
          <w:highlight w:val="none"/>
        </w:rPr>
        <w:t>我方承诺，在收到受益人发来的书面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个工作</w:t>
      </w:r>
      <w:r>
        <w:rPr>
          <w:rFonts w:hint="eastAsia" w:asciiTheme="minorEastAsia" w:hAnsiTheme="minorEastAsia" w:eastAsiaTheme="minorEastAsia" w:cstheme="minorEastAsia"/>
          <w:color w:val="auto"/>
          <w:kern w:val="2"/>
          <w:sz w:val="21"/>
          <w:szCs w:val="21"/>
          <w:highlight w:val="none"/>
        </w:rPr>
        <w:t>日</w:t>
      </w:r>
      <w:r>
        <w:rPr>
          <w:rFonts w:hint="eastAsia" w:asciiTheme="minorEastAsia" w:hAnsiTheme="minorEastAsia" w:eastAsiaTheme="minorEastAsia" w:cstheme="minorEastAsia"/>
          <w:color w:val="auto"/>
          <w:kern w:val="2"/>
          <w:sz w:val="21"/>
          <w:szCs w:val="21"/>
          <w:highlight w:val="none"/>
          <w:lang w:eastAsia="zh-CN"/>
        </w:rPr>
        <w:t>（提示：建议</w:t>
      </w:r>
      <w:r>
        <w:rPr>
          <w:rFonts w:hint="eastAsia" w:asciiTheme="minorEastAsia" w:hAnsiTheme="minorEastAsia" w:eastAsiaTheme="minorEastAsia" w:cstheme="minorEastAsia"/>
          <w:color w:val="auto"/>
          <w:kern w:val="2"/>
          <w:sz w:val="21"/>
          <w:szCs w:val="21"/>
          <w:highlight w:val="none"/>
          <w:lang w:val="en-US" w:eastAsia="zh-CN"/>
        </w:rPr>
        <w:t>10—15个工作日</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内无条件支付，前述书面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lang w:eastAsia="zh-CN"/>
        </w:rPr>
        <w:t>（</w:t>
      </w:r>
      <w:r>
        <w:rPr>
          <w:rFonts w:hint="eastAsia" w:asciiTheme="minorEastAsia" w:hAnsiTheme="minorEastAsia" w:eastAsiaTheme="minorEastAsia" w:cstheme="minorEastAsia"/>
          <w:color w:val="auto"/>
          <w:spacing w:val="0"/>
          <w:kern w:val="2"/>
          <w:sz w:val="21"/>
          <w:szCs w:val="21"/>
          <w:highlight w:val="none"/>
          <w:lang w:val="en-US" w:eastAsia="zh-CN"/>
        </w:rPr>
        <w:t>5</w:t>
      </w:r>
      <w:r>
        <w:rPr>
          <w:rFonts w:hint="eastAsia" w:asciiTheme="minorEastAsia" w:hAnsiTheme="minorEastAsia" w:eastAsiaTheme="minorEastAsia" w:cstheme="minorEastAsia"/>
          <w:color w:val="auto"/>
          <w:spacing w:val="0"/>
          <w:kern w:val="2"/>
          <w:sz w:val="21"/>
          <w:szCs w:val="21"/>
          <w:highlight w:val="none"/>
          <w:lang w:eastAsia="zh-CN"/>
        </w:rPr>
        <w:t>）索赔</w:t>
      </w:r>
      <w:r>
        <w:rPr>
          <w:rFonts w:hint="eastAsia" w:asciiTheme="minorEastAsia" w:hAnsiTheme="minorEastAsia" w:eastAsiaTheme="minorEastAsia" w:cstheme="minorEastAsia"/>
          <w:color w:val="auto"/>
          <w:spacing w:val="0"/>
          <w:kern w:val="2"/>
          <w:sz w:val="21"/>
          <w:szCs w:val="21"/>
          <w:highlight w:val="none"/>
        </w:rPr>
        <w:t>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受益人发出的书面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通知应由其为鉴明受益人法定代表人或授权代理人签</w:t>
      </w:r>
      <w:r>
        <w:rPr>
          <w:rFonts w:hint="eastAsia" w:asciiTheme="minorEastAsia" w:hAnsiTheme="minorEastAsia" w:eastAsiaTheme="minorEastAsia" w:cstheme="minorEastAsia"/>
          <w:color w:val="auto"/>
          <w:kern w:val="2"/>
          <w:sz w:val="21"/>
          <w:szCs w:val="21"/>
          <w:highlight w:val="none"/>
          <w:lang w:eastAsia="zh-CN"/>
        </w:rPr>
        <w:t>名</w:t>
      </w:r>
      <w:r>
        <w:rPr>
          <w:rFonts w:hint="eastAsia" w:asciiTheme="minorEastAsia" w:hAnsiTheme="minorEastAsia" w:eastAsiaTheme="minorEastAsia" w:cstheme="minorEastAsia"/>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w:t>
      </w:r>
      <w:r>
        <w:rPr>
          <w:rFonts w:hint="eastAsia" w:asciiTheme="minorEastAsia" w:hAnsiTheme="minorEastAsia" w:eastAsiaTheme="minorEastAsia" w:cstheme="minorEastAsia"/>
          <w:color w:val="auto"/>
          <w:kern w:val="2"/>
          <w:sz w:val="21"/>
          <w:szCs w:val="21"/>
          <w:highlight w:val="none"/>
          <w:lang w:eastAsia="zh-CN"/>
        </w:rPr>
        <w:t>贵方</w:t>
      </w:r>
      <w:r>
        <w:rPr>
          <w:rFonts w:hint="eastAsia" w:asciiTheme="minorEastAsia" w:hAnsiTheme="minorEastAsia" w:eastAsiaTheme="minorEastAsia" w:cstheme="minorEastAsia"/>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七、受益人应在本保函到期后的</w:t>
      </w:r>
      <w:r>
        <w:rPr>
          <w:rFonts w:hint="eastAsia" w:asciiTheme="minorEastAsia" w:hAnsiTheme="minorEastAsia" w:eastAsiaTheme="minorEastAsia" w:cstheme="minorEastAsia"/>
          <w:color w:val="auto"/>
          <w:kern w:val="2"/>
          <w:sz w:val="21"/>
          <w:szCs w:val="21"/>
          <w:highlight w:val="none"/>
          <w:lang w:val="en-US" w:eastAsia="zh-CN"/>
        </w:rPr>
        <w:t>七</w:t>
      </w:r>
      <w:r>
        <w:rPr>
          <w:rFonts w:hint="eastAsia" w:asciiTheme="minorEastAsia" w:hAnsiTheme="minorEastAsia" w:eastAsiaTheme="minorEastAsia" w:cstheme="minorEastAsia"/>
          <w:color w:val="auto"/>
          <w:kern w:val="2"/>
          <w:sz w:val="21"/>
          <w:szCs w:val="21"/>
          <w:highlight w:val="none"/>
          <w:lang w:eastAsia="zh-CN"/>
        </w:rPr>
        <w:t>个工作</w:t>
      </w:r>
      <w:r>
        <w:rPr>
          <w:rFonts w:hint="eastAsia" w:asciiTheme="minorEastAsia" w:hAnsiTheme="minorEastAsia" w:eastAsiaTheme="minorEastAsia" w:cstheme="minorEastAsia"/>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八、</w:t>
      </w:r>
      <w:r>
        <w:rPr>
          <w:rFonts w:hint="eastAsia" w:asciiTheme="minorEastAsia" w:hAnsiTheme="minorEastAsia" w:eastAsiaTheme="minorEastAsia" w:cstheme="minorEastAsia"/>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九、</w:t>
      </w:r>
      <w:r>
        <w:rPr>
          <w:rFonts w:hint="eastAsia" w:asciiTheme="minorEastAsia" w:hAnsiTheme="minorEastAsia" w:eastAsiaTheme="minorEastAsia" w:cstheme="minorEastAsia"/>
          <w:color w:val="auto"/>
          <w:kern w:val="2"/>
          <w:sz w:val="21"/>
          <w:szCs w:val="21"/>
          <w:highlight w:val="none"/>
        </w:rPr>
        <w:t>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十</w:t>
      </w:r>
      <w:r>
        <w:rPr>
          <w:rFonts w:hint="eastAsia" w:asciiTheme="minorEastAsia" w:hAnsiTheme="minorEastAsia" w:eastAsiaTheme="minorEastAsia" w:cstheme="minorEastAsia"/>
          <w:color w:val="auto"/>
          <w:kern w:val="2"/>
          <w:sz w:val="21"/>
          <w:szCs w:val="21"/>
          <w:highlight w:val="none"/>
        </w:rPr>
        <w:t>、本保函自我方法定代表人或授权代表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eastAsia="zh-CN"/>
        </w:rPr>
        <w:t>十一、本保函在重庆市辖区范围内的核验地点：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w:t>
      </w:r>
      <w:r>
        <w:rPr>
          <w:rFonts w:hint="eastAsia" w:asciiTheme="minorEastAsia" w:hAnsiTheme="minorEastAsia" w:eastAsiaTheme="minorEastAsia" w:cstheme="minorEastAsia"/>
          <w:color w:val="auto"/>
          <w:kern w:val="2"/>
          <w:sz w:val="21"/>
          <w:szCs w:val="21"/>
          <w:highlight w:val="none"/>
          <w:lang w:eastAsia="zh-CN"/>
        </w:rPr>
        <w:t>代表</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    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pPr>
        <w:pStyle w:val="2"/>
        <w:ind w:firstLine="420" w:firstLineChars="200"/>
        <w:rPr>
          <w:rFonts w:hint="eastAsia"/>
          <w:color w:val="auto"/>
          <w:highlight w:val="none"/>
          <w:lang w:eastAsia="zh-CN"/>
        </w:rPr>
      </w:pPr>
      <w:r>
        <w:rPr>
          <w:rFonts w:hint="eastAsia" w:asciiTheme="minorEastAsia" w:hAnsiTheme="minorEastAsia" w:eastAsiaTheme="minorEastAsia" w:cstheme="minorEastAsia"/>
          <w:color w:val="auto"/>
          <w:kern w:val="2"/>
          <w:sz w:val="21"/>
          <w:szCs w:val="21"/>
          <w:highlight w:val="none"/>
        </w:rPr>
        <w:t xml:space="preserve">开立时间：    年 </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月 </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eastAsia="zh-CN"/>
        </w:rPr>
        <w:t>日</w:t>
      </w:r>
    </w:p>
    <w:p>
      <w:pPr>
        <w:pStyle w:val="5"/>
      </w:pPr>
    </w:p>
    <w:p>
      <w:pPr>
        <w:jc w:val="center"/>
        <w:rPr>
          <w:rFonts w:ascii="宋体" w:hAnsi="宋体" w:eastAsia="宋体" w:cs="宋体"/>
          <w:color w:val="auto"/>
          <w:highlight w:val="none"/>
        </w:rPr>
      </w:pPr>
      <w:r>
        <w:rPr>
          <w:rFonts w:hint="eastAsia" w:ascii="宋体" w:hAnsi="宋体" w:eastAsia="宋体" w:cs="宋体"/>
          <w:snapToGrid w:val="0"/>
          <w:color w:val="auto"/>
          <w:kern w:val="0"/>
          <w:szCs w:val="20"/>
          <w:highlight w:val="none"/>
        </w:rPr>
        <w:br w:type="page"/>
      </w:r>
      <w:bookmarkStart w:id="500" w:name="_Toc27413"/>
      <w:bookmarkStart w:id="501" w:name="_Toc516620678"/>
    </w:p>
    <w:p>
      <w:pPr>
        <w:pStyle w:val="4"/>
        <w:jc w:val="center"/>
        <w:rPr>
          <w:rFonts w:ascii="宋体" w:hAnsi="宋体" w:eastAsia="宋体" w:cs="宋体"/>
          <w:color w:val="auto"/>
          <w:highlight w:val="none"/>
        </w:rPr>
      </w:pPr>
      <w:bookmarkStart w:id="502" w:name="_Toc6008_WPSOffice_Level2"/>
      <w:r>
        <w:rPr>
          <w:rFonts w:hint="eastAsia" w:ascii="宋体" w:hAnsi="宋体" w:eastAsia="宋体" w:cs="宋体"/>
          <w:color w:val="auto"/>
          <w:highlight w:val="none"/>
        </w:rPr>
        <w:t>三、技术部分</w:t>
      </w:r>
      <w:bookmarkEnd w:id="500"/>
      <w:bookmarkEnd w:id="501"/>
      <w:bookmarkEnd w:id="502"/>
    </w:p>
    <w:p>
      <w:pPr>
        <w:tabs>
          <w:tab w:val="left" w:pos="6230"/>
        </w:tabs>
        <w:autoSpaceDE w:val="0"/>
        <w:autoSpaceDN w:val="0"/>
        <w:adjustRightInd w:val="0"/>
        <w:snapToGrid w:val="0"/>
        <w:ind w:firstLine="151" w:firstLineChars="50"/>
        <w:rPr>
          <w:rFonts w:ascii="宋体" w:hAnsi="宋体" w:eastAsia="宋体" w:cs="宋体"/>
          <w:b/>
          <w:snapToGrid w:val="0"/>
          <w:color w:val="auto"/>
          <w:kern w:val="0"/>
          <w:sz w:val="28"/>
          <w:szCs w:val="28"/>
          <w:highlight w:val="none"/>
          <w:u w:val="single"/>
        </w:rPr>
      </w:pPr>
      <w:r>
        <w:rPr>
          <w:rFonts w:hint="eastAsia" w:ascii="宋体" w:hAnsi="宋体" w:eastAsia="宋体" w:cs="宋体"/>
          <w:b/>
          <w:bCs/>
          <w:snapToGrid w:val="0"/>
          <w:color w:val="auto"/>
          <w:kern w:val="0"/>
          <w:sz w:val="30"/>
          <w:szCs w:val="30"/>
          <w:highlight w:val="none"/>
        </w:rPr>
        <w:br w:type="page"/>
      </w:r>
    </w:p>
    <w:p>
      <w:pPr>
        <w:tabs>
          <w:tab w:val="left" w:pos="6230"/>
        </w:tabs>
        <w:autoSpaceDE w:val="0"/>
        <w:autoSpaceDN w:val="0"/>
        <w:adjustRightInd w:val="0"/>
        <w:snapToGrid w:val="0"/>
        <w:ind w:firstLine="141" w:firstLineChars="50"/>
        <w:rPr>
          <w:rFonts w:ascii="宋体" w:hAnsi="宋体" w:eastAsia="宋体" w:cs="宋体"/>
          <w:b/>
          <w:snapToGrid w:val="0"/>
          <w:color w:val="auto"/>
          <w:kern w:val="0"/>
          <w:sz w:val="28"/>
          <w:szCs w:val="28"/>
          <w:highlight w:val="none"/>
          <w:u w:val="single"/>
        </w:rPr>
      </w:pPr>
    </w:p>
    <w:p>
      <w:pPr>
        <w:tabs>
          <w:tab w:val="left" w:pos="5825"/>
          <w:tab w:val="left" w:pos="5940"/>
        </w:tabs>
        <w:autoSpaceDE w:val="0"/>
        <w:autoSpaceDN w:val="0"/>
        <w:adjustRightInd w:val="0"/>
        <w:snapToGrid w:val="0"/>
        <w:rPr>
          <w:rFonts w:ascii="宋体" w:hAnsi="宋体" w:eastAsia="宋体" w:cs="宋体"/>
          <w:b/>
          <w:snapToGrid w:val="0"/>
          <w:color w:val="auto"/>
          <w:kern w:val="0"/>
          <w:sz w:val="28"/>
          <w:szCs w:val="28"/>
          <w:highlight w:val="none"/>
          <w:u w:val="single"/>
        </w:rPr>
      </w:pPr>
      <w:r>
        <w:rPr>
          <w:rFonts w:hint="eastAsia" w:ascii="宋体" w:hAnsi="宋体" w:eastAsia="宋体" w:cs="宋体"/>
          <w:b/>
          <w:snapToGrid w:val="0"/>
          <w:color w:val="auto"/>
          <w:kern w:val="0"/>
          <w:sz w:val="28"/>
          <w:szCs w:val="28"/>
          <w:highlight w:val="none"/>
          <w:u w:val="single"/>
        </w:rPr>
        <w:t xml:space="preserve">                                                   </w:t>
      </w:r>
      <w:bookmarkStart w:id="503" w:name="_Toc22636_WPSOffice_Level3"/>
      <w:bookmarkStart w:id="504" w:name="_Toc2854_WPSOffice_Level2"/>
      <w:r>
        <w:rPr>
          <w:rFonts w:hint="eastAsia" w:ascii="宋体" w:hAnsi="宋体" w:eastAsia="宋体" w:cs="宋体"/>
          <w:b/>
          <w:snapToGrid w:val="0"/>
          <w:color w:val="auto"/>
          <w:kern w:val="0"/>
          <w:sz w:val="28"/>
          <w:szCs w:val="28"/>
          <w:highlight w:val="none"/>
          <w:u w:val="single"/>
        </w:rPr>
        <w:t>（项目名称）</w:t>
      </w:r>
      <w:bookmarkEnd w:id="503"/>
      <w:bookmarkEnd w:id="504"/>
    </w:p>
    <w:p>
      <w:pPr>
        <w:tabs>
          <w:tab w:val="left" w:pos="6230"/>
        </w:tabs>
        <w:autoSpaceDE w:val="0"/>
        <w:autoSpaceDN w:val="0"/>
        <w:adjustRightInd w:val="0"/>
        <w:snapToGrid w:val="0"/>
        <w:jc w:val="center"/>
        <w:rPr>
          <w:rFonts w:ascii="宋体" w:hAnsi="宋体" w:eastAsia="宋体" w:cs="宋体"/>
          <w:b/>
          <w:snapToGrid w:val="0"/>
          <w:color w:val="auto"/>
          <w:kern w:val="0"/>
          <w:sz w:val="28"/>
          <w:szCs w:val="28"/>
          <w:highlight w:val="none"/>
        </w:rPr>
      </w:pPr>
    </w:p>
    <w:p>
      <w:pPr>
        <w:tabs>
          <w:tab w:val="left" w:pos="3600"/>
          <w:tab w:val="left" w:pos="4480"/>
          <w:tab w:val="left" w:pos="5360"/>
        </w:tabs>
        <w:autoSpaceDE w:val="0"/>
        <w:autoSpaceDN w:val="0"/>
        <w:adjustRightInd w:val="0"/>
        <w:snapToGrid w:val="0"/>
        <w:rPr>
          <w:rFonts w:ascii="宋体" w:hAnsi="宋体" w:eastAsia="宋体" w:cs="宋体"/>
          <w:snapToGrid w:val="0"/>
          <w:color w:val="auto"/>
          <w:kern w:val="0"/>
          <w:sz w:val="44"/>
          <w:szCs w:val="44"/>
          <w:highlight w:val="none"/>
        </w:rPr>
      </w:pPr>
    </w:p>
    <w:p>
      <w:pPr>
        <w:tabs>
          <w:tab w:val="left" w:pos="3600"/>
          <w:tab w:val="left" w:pos="4480"/>
          <w:tab w:val="left" w:pos="5360"/>
        </w:tabs>
        <w:autoSpaceDE w:val="0"/>
        <w:autoSpaceDN w:val="0"/>
        <w:adjustRightInd w:val="0"/>
        <w:snapToGrid w:val="0"/>
        <w:rPr>
          <w:rFonts w:ascii="宋体" w:hAnsi="宋体" w:eastAsia="宋体" w:cs="宋体"/>
          <w:snapToGrid w:val="0"/>
          <w:color w:val="auto"/>
          <w:kern w:val="0"/>
          <w:sz w:val="44"/>
          <w:szCs w:val="44"/>
          <w:highlight w:val="none"/>
        </w:rPr>
      </w:pPr>
    </w:p>
    <w:p>
      <w:pPr>
        <w:tabs>
          <w:tab w:val="left" w:pos="3600"/>
          <w:tab w:val="left" w:pos="4480"/>
          <w:tab w:val="left" w:pos="5360"/>
        </w:tabs>
        <w:autoSpaceDE w:val="0"/>
        <w:autoSpaceDN w:val="0"/>
        <w:adjustRightInd w:val="0"/>
        <w:snapToGrid w:val="0"/>
        <w:jc w:val="center"/>
        <w:rPr>
          <w:rFonts w:ascii="宋体" w:hAnsi="宋体" w:eastAsia="宋体" w:cs="宋体"/>
          <w:b/>
          <w:snapToGrid w:val="0"/>
          <w:color w:val="auto"/>
          <w:kern w:val="0"/>
          <w:sz w:val="84"/>
          <w:szCs w:val="84"/>
          <w:highlight w:val="none"/>
        </w:rPr>
      </w:pPr>
      <w:bookmarkStart w:id="505" w:name="_Toc6776_WPSOffice_Level3"/>
      <w:r>
        <w:rPr>
          <w:rFonts w:hint="eastAsia" w:ascii="宋体" w:hAnsi="宋体" w:eastAsia="宋体" w:cs="宋体"/>
          <w:b/>
          <w:snapToGrid w:val="0"/>
          <w:color w:val="auto"/>
          <w:kern w:val="0"/>
          <w:sz w:val="84"/>
          <w:szCs w:val="84"/>
          <w:highlight w:val="none"/>
        </w:rPr>
        <w:t>投标文件</w:t>
      </w:r>
      <w:bookmarkEnd w:id="505"/>
    </w:p>
    <w:p>
      <w:pPr>
        <w:autoSpaceDE w:val="0"/>
        <w:autoSpaceDN w:val="0"/>
        <w:adjustRightInd w:val="0"/>
        <w:snapToGrid w:val="0"/>
        <w:rPr>
          <w:rFonts w:ascii="宋体" w:hAnsi="宋体" w:eastAsia="宋体" w:cs="宋体"/>
          <w:snapToGrid w:val="0"/>
          <w:color w:val="auto"/>
          <w:kern w:val="0"/>
          <w:sz w:val="16"/>
          <w:szCs w:val="16"/>
          <w:highlight w:val="none"/>
        </w:rPr>
      </w:pPr>
    </w:p>
    <w:p>
      <w:pPr>
        <w:autoSpaceDE w:val="0"/>
        <w:autoSpaceDN w:val="0"/>
        <w:adjustRightInd w:val="0"/>
        <w:snapToGrid w:val="0"/>
        <w:jc w:val="center"/>
        <w:rPr>
          <w:rFonts w:ascii="宋体" w:hAnsi="宋体" w:eastAsia="宋体" w:cs="宋体"/>
          <w:b/>
          <w:snapToGrid w:val="0"/>
          <w:color w:val="auto"/>
          <w:kern w:val="0"/>
          <w:sz w:val="36"/>
          <w:szCs w:val="36"/>
          <w:highlight w:val="none"/>
        </w:rPr>
      </w:pPr>
      <w:bookmarkStart w:id="506" w:name="_Toc28588_WPSOffice_Level2"/>
      <w:bookmarkStart w:id="507" w:name="_Toc18333_WPSOffice_Level3"/>
      <w:r>
        <w:rPr>
          <w:rFonts w:hint="eastAsia" w:ascii="宋体" w:hAnsi="宋体" w:eastAsia="宋体" w:cs="宋体"/>
          <w:b/>
          <w:snapToGrid w:val="0"/>
          <w:color w:val="auto"/>
          <w:kern w:val="0"/>
          <w:sz w:val="36"/>
          <w:szCs w:val="36"/>
          <w:highlight w:val="none"/>
        </w:rPr>
        <w:t>技术部分</w:t>
      </w:r>
      <w:bookmarkEnd w:id="506"/>
      <w:bookmarkEnd w:id="507"/>
    </w:p>
    <w:p>
      <w:pPr>
        <w:autoSpaceDE w:val="0"/>
        <w:autoSpaceDN w:val="0"/>
        <w:adjustRightInd w:val="0"/>
        <w:snapToGrid w:val="0"/>
        <w:rPr>
          <w:rFonts w:ascii="宋体" w:hAnsi="宋体" w:eastAsia="宋体" w:cs="宋体"/>
          <w:snapToGrid w:val="0"/>
          <w:color w:val="auto"/>
          <w:kern w:val="0"/>
          <w:sz w:val="20"/>
          <w:szCs w:val="20"/>
          <w:highlight w:val="none"/>
        </w:rPr>
      </w:pPr>
    </w:p>
    <w:p>
      <w:pPr>
        <w:adjustRightInd w:val="0"/>
        <w:snapToGrid w:val="0"/>
        <w:spacing w:line="264" w:lineRule="auto"/>
        <w:ind w:firstLine="720" w:firstLineChars="300"/>
        <w:rPr>
          <w:rFonts w:ascii="宋体" w:hAnsi="宋体" w:eastAsia="宋体" w:cs="宋体"/>
          <w:snapToGrid w:val="0"/>
          <w:color w:val="auto"/>
          <w:kern w:val="0"/>
          <w:szCs w:val="21"/>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tabs>
          <w:tab w:val="left" w:pos="6080"/>
          <w:tab w:val="left" w:pos="6640"/>
        </w:tabs>
        <w:autoSpaceDE w:val="0"/>
        <w:autoSpaceDN w:val="0"/>
        <w:adjustRightInd w:val="0"/>
        <w:snapToGrid w:val="0"/>
        <w:ind w:firstLine="1251" w:firstLineChars="450"/>
        <w:rPr>
          <w:rFonts w:ascii="宋体" w:hAnsi="宋体" w:eastAsia="宋体" w:cs="宋体"/>
          <w:b/>
          <w:snapToGrid w:val="0"/>
          <w:color w:val="auto"/>
          <w:w w:val="99"/>
          <w:kern w:val="0"/>
          <w:sz w:val="28"/>
          <w:szCs w:val="28"/>
          <w:highlight w:val="none"/>
        </w:rPr>
      </w:pPr>
      <w:bookmarkStart w:id="508" w:name="_Toc21268_WPSOffice_Level2"/>
      <w:bookmarkStart w:id="509" w:name="_Toc12489_WPSOffice_Level3"/>
      <w:r>
        <w:rPr>
          <w:rFonts w:hint="eastAsia" w:ascii="宋体" w:hAnsi="宋体" w:eastAsia="宋体" w:cs="宋体"/>
          <w:b/>
          <w:snapToGrid w:val="0"/>
          <w:color w:val="auto"/>
          <w:w w:val="99"/>
          <w:kern w:val="0"/>
          <w:sz w:val="28"/>
          <w:szCs w:val="28"/>
          <w:highlight w:val="none"/>
        </w:rPr>
        <w:t>投标人：</w:t>
      </w:r>
      <w:r>
        <w:rPr>
          <w:rFonts w:hint="eastAsia" w:ascii="宋体" w:hAnsi="宋体" w:eastAsia="宋体" w:cs="宋体"/>
          <w:b/>
          <w:snapToGrid w:val="0"/>
          <w:color w:val="auto"/>
          <w:w w:val="198"/>
          <w:kern w:val="0"/>
          <w:sz w:val="28"/>
          <w:szCs w:val="28"/>
          <w:highlight w:val="none"/>
          <w:u w:val="single"/>
        </w:rPr>
        <w:t>　　　　　　</w:t>
      </w:r>
      <w:r>
        <w:rPr>
          <w:rFonts w:hint="eastAsia" w:ascii="宋体" w:hAnsi="宋体" w:eastAsia="宋体" w:cs="宋体"/>
          <w:b/>
          <w:snapToGrid w:val="0"/>
          <w:color w:val="auto"/>
          <w:w w:val="99"/>
          <w:kern w:val="0"/>
          <w:sz w:val="28"/>
          <w:szCs w:val="28"/>
          <w:highlight w:val="none"/>
        </w:rPr>
        <w:t>（盖单位公章）</w:t>
      </w:r>
      <w:bookmarkEnd w:id="508"/>
      <w:bookmarkEnd w:id="509"/>
    </w:p>
    <w:p>
      <w:pPr>
        <w:tabs>
          <w:tab w:val="left" w:pos="6080"/>
          <w:tab w:val="left" w:pos="6640"/>
        </w:tabs>
        <w:autoSpaceDE w:val="0"/>
        <w:autoSpaceDN w:val="0"/>
        <w:adjustRightInd w:val="0"/>
        <w:snapToGrid w:val="0"/>
        <w:ind w:firstLine="1251" w:firstLineChars="450"/>
        <w:rPr>
          <w:rFonts w:ascii="宋体" w:hAnsi="宋体" w:eastAsia="宋体" w:cs="宋体"/>
          <w:b/>
          <w:snapToGrid w:val="0"/>
          <w:color w:val="auto"/>
          <w:kern w:val="0"/>
          <w:sz w:val="28"/>
          <w:szCs w:val="28"/>
          <w:highlight w:val="none"/>
        </w:rPr>
      </w:pPr>
      <w:bookmarkStart w:id="510" w:name="_Toc20029_WPSOffice_Level3"/>
      <w:bookmarkStart w:id="511" w:name="_Toc18016_WPSOffice_Level2"/>
      <w:r>
        <w:rPr>
          <w:rFonts w:hint="eastAsia" w:ascii="宋体" w:hAnsi="宋体" w:eastAsia="宋体" w:cs="宋体"/>
          <w:b/>
          <w:snapToGrid w:val="0"/>
          <w:color w:val="auto"/>
          <w:w w:val="99"/>
          <w:kern w:val="0"/>
          <w:sz w:val="28"/>
          <w:szCs w:val="28"/>
          <w:highlight w:val="none"/>
        </w:rPr>
        <w:t>法定代表人</w:t>
      </w:r>
      <w:r>
        <w:rPr>
          <w:rFonts w:hint="eastAsia" w:ascii="宋体" w:hAnsi="宋体" w:eastAsia="宋体" w:cs="宋体"/>
          <w:b/>
          <w:snapToGrid w:val="0"/>
          <w:color w:val="auto"/>
          <w:w w:val="99"/>
          <w:kern w:val="0"/>
          <w:sz w:val="28"/>
          <w:szCs w:val="28"/>
          <w:highlight w:val="none"/>
          <w:lang w:eastAsia="zh-CN"/>
        </w:rPr>
        <w:t>（单位负责人）</w:t>
      </w:r>
      <w:r>
        <w:rPr>
          <w:rFonts w:hint="eastAsia" w:ascii="宋体" w:hAnsi="宋体" w:eastAsia="宋体" w:cs="宋体"/>
          <w:b/>
          <w:snapToGrid w:val="0"/>
          <w:color w:val="auto"/>
          <w:w w:val="99"/>
          <w:kern w:val="0"/>
          <w:sz w:val="28"/>
          <w:szCs w:val="28"/>
          <w:highlight w:val="none"/>
        </w:rPr>
        <w:t>或其委托代理人：</w:t>
      </w:r>
      <w:r>
        <w:rPr>
          <w:rFonts w:hint="eastAsia" w:ascii="宋体" w:hAnsi="宋体" w:eastAsia="宋体" w:cs="宋体"/>
          <w:b/>
          <w:snapToGrid w:val="0"/>
          <w:color w:val="auto"/>
          <w:w w:val="198"/>
          <w:kern w:val="0"/>
          <w:sz w:val="28"/>
          <w:szCs w:val="28"/>
          <w:highlight w:val="none"/>
          <w:u w:val="single"/>
        </w:rPr>
        <w:t>　　　</w:t>
      </w:r>
      <w:r>
        <w:rPr>
          <w:rFonts w:hint="eastAsia" w:ascii="宋体" w:hAnsi="宋体" w:eastAsia="宋体" w:cs="宋体"/>
          <w:b/>
          <w:snapToGrid w:val="0"/>
          <w:color w:val="auto"/>
          <w:w w:val="99"/>
          <w:kern w:val="0"/>
          <w:sz w:val="28"/>
          <w:szCs w:val="28"/>
          <w:highlight w:val="none"/>
        </w:rPr>
        <w:t>（签字）</w:t>
      </w:r>
      <w:bookmarkEnd w:id="510"/>
      <w:bookmarkEnd w:id="511"/>
    </w:p>
    <w:p>
      <w:pPr>
        <w:jc w:val="center"/>
        <w:rPr>
          <w:rFonts w:ascii="宋体" w:hAnsi="宋体" w:eastAsia="宋体" w:cs="宋体"/>
          <w:snapToGrid w:val="0"/>
          <w:color w:val="auto"/>
          <w:kern w:val="0"/>
          <w:szCs w:val="20"/>
          <w:highlight w:val="none"/>
        </w:rPr>
      </w:pPr>
      <w:bookmarkStart w:id="512" w:name="_Toc6145_WPSOffice_Level3"/>
      <w:r>
        <w:rPr>
          <w:rFonts w:hint="eastAsia" w:ascii="宋体" w:hAnsi="宋体" w:eastAsia="宋体" w:cs="宋体"/>
          <w:b/>
          <w:snapToGrid w:val="0"/>
          <w:color w:val="auto"/>
          <w:w w:val="99"/>
          <w:kern w:val="0"/>
          <w:sz w:val="28"/>
          <w:szCs w:val="28"/>
          <w:highlight w:val="none"/>
        </w:rPr>
        <w:t>年    月    日</w:t>
      </w:r>
      <w:bookmarkEnd w:id="512"/>
    </w:p>
    <w:p>
      <w:pPr>
        <w:jc w:val="center"/>
        <w:rPr>
          <w:rFonts w:ascii="宋体" w:hAnsi="宋体" w:eastAsia="宋体" w:cs="宋体"/>
          <w:snapToGrid w:val="0"/>
          <w:color w:val="auto"/>
          <w:kern w:val="0"/>
          <w:highlight w:val="none"/>
        </w:rPr>
      </w:pPr>
    </w:p>
    <w:p>
      <w:pPr>
        <w:ind w:firstLine="422" w:firstLineChars="200"/>
        <w:rPr>
          <w:rFonts w:hint="eastAsia" w:ascii="宋体" w:hAnsi="宋体" w:eastAsia="宋体" w:cs="宋体"/>
          <w:b/>
          <w:bCs/>
          <w:snapToGrid w:val="0"/>
          <w:color w:val="auto"/>
          <w:kern w:val="0"/>
          <w:sz w:val="21"/>
          <w:szCs w:val="21"/>
          <w:highlight w:val="none"/>
        </w:rPr>
        <w:sectPr>
          <w:pgSz w:w="11906" w:h="16838"/>
          <w:pgMar w:top="1418" w:right="1361" w:bottom="1276" w:left="1418" w:header="851" w:footer="992" w:gutter="0"/>
          <w:cols w:space="720" w:num="1"/>
          <w:docGrid w:linePitch="312" w:charSpace="0"/>
        </w:sectPr>
      </w:pPr>
      <w:r>
        <w:rPr>
          <w:rFonts w:hint="eastAsia" w:ascii="宋体" w:hAnsi="宋体" w:eastAsia="宋体" w:cs="宋体"/>
          <w:b/>
          <w:bCs/>
          <w:snapToGrid w:val="0"/>
          <w:color w:val="auto"/>
          <w:kern w:val="0"/>
          <w:sz w:val="21"/>
          <w:szCs w:val="21"/>
          <w:highlight w:val="none"/>
        </w:rPr>
        <w:t>注：技术部分为响应本招标文件的技术要求的相应</w:t>
      </w:r>
      <w:r>
        <w:rPr>
          <w:rFonts w:hint="eastAsia" w:ascii="宋体" w:hAnsi="宋体" w:eastAsia="宋体" w:cs="宋体"/>
          <w:b/>
          <w:bCs/>
          <w:snapToGrid w:val="0"/>
          <w:color w:val="auto"/>
          <w:kern w:val="0"/>
          <w:sz w:val="21"/>
          <w:szCs w:val="21"/>
          <w:highlight w:val="none"/>
          <w:lang w:val="en-US" w:eastAsia="zh-CN"/>
        </w:rPr>
        <w:t>资料</w:t>
      </w:r>
      <w:r>
        <w:rPr>
          <w:rFonts w:hint="eastAsia" w:ascii="宋体" w:hAnsi="宋体" w:eastAsia="宋体" w:cs="宋体"/>
          <w:b/>
          <w:bCs/>
          <w:snapToGrid w:val="0"/>
          <w:color w:val="auto"/>
          <w:kern w:val="0"/>
          <w:sz w:val="21"/>
          <w:szCs w:val="21"/>
          <w:highlight w:val="none"/>
        </w:rPr>
        <w:t>，包括但不限于合同条款、技术要求、按评</w:t>
      </w:r>
      <w:r>
        <w:rPr>
          <w:rFonts w:hint="eastAsia" w:ascii="宋体" w:hAnsi="宋体" w:eastAsia="宋体" w:cs="宋体"/>
          <w:b/>
          <w:bCs/>
          <w:snapToGrid w:val="0"/>
          <w:color w:val="auto"/>
          <w:kern w:val="0"/>
          <w:sz w:val="21"/>
          <w:szCs w:val="21"/>
          <w:highlight w:val="none"/>
          <w:lang w:val="en-US" w:eastAsia="zh-CN"/>
        </w:rPr>
        <w:t>标</w:t>
      </w:r>
      <w:r>
        <w:rPr>
          <w:rFonts w:hint="eastAsia" w:ascii="宋体" w:hAnsi="宋体" w:eastAsia="宋体" w:cs="宋体"/>
          <w:b/>
          <w:bCs/>
          <w:snapToGrid w:val="0"/>
          <w:color w:val="auto"/>
          <w:kern w:val="0"/>
          <w:sz w:val="21"/>
          <w:szCs w:val="21"/>
          <w:highlight w:val="none"/>
        </w:rPr>
        <w:t>办法需提供的内容等，投标人按招标文件要求自行编制技术部分内容</w:t>
      </w:r>
      <w:r>
        <w:rPr>
          <w:rFonts w:hint="eastAsia" w:ascii="宋体" w:hAnsi="宋体" w:eastAsia="宋体" w:cs="宋体"/>
          <w:b/>
          <w:bCs/>
          <w:snapToGrid w:val="0"/>
          <w:color w:val="auto"/>
          <w:kern w:val="0"/>
          <w:sz w:val="21"/>
          <w:szCs w:val="21"/>
          <w:highlight w:val="none"/>
          <w:lang w:eastAsia="zh-CN"/>
        </w:rPr>
        <w:t>，</w:t>
      </w:r>
      <w:r>
        <w:rPr>
          <w:rFonts w:hint="eastAsia" w:ascii="宋体" w:hAnsi="宋体" w:eastAsia="宋体" w:cs="宋体"/>
          <w:b/>
          <w:bCs/>
          <w:snapToGrid w:val="0"/>
          <w:color w:val="auto"/>
          <w:kern w:val="0"/>
          <w:sz w:val="21"/>
          <w:szCs w:val="21"/>
          <w:highlight w:val="none"/>
          <w:lang w:val="en-US" w:eastAsia="zh-CN"/>
        </w:rPr>
        <w:t>加盖投标人公章</w:t>
      </w:r>
      <w:r>
        <w:rPr>
          <w:rFonts w:hint="eastAsia" w:ascii="宋体" w:hAnsi="宋体" w:eastAsia="宋体" w:cs="宋体"/>
          <w:b/>
          <w:bCs/>
          <w:snapToGrid w:val="0"/>
          <w:color w:val="auto"/>
          <w:kern w:val="0"/>
          <w:sz w:val="21"/>
          <w:szCs w:val="21"/>
          <w:highlight w:val="none"/>
        </w:rPr>
        <w:t>。</w:t>
      </w:r>
    </w:p>
    <w:p>
      <w:pPr>
        <w:tabs>
          <w:tab w:val="left" w:pos="5825"/>
          <w:tab w:val="left" w:pos="5940"/>
        </w:tabs>
        <w:autoSpaceDE w:val="0"/>
        <w:autoSpaceDN w:val="0"/>
        <w:adjustRightInd w:val="0"/>
        <w:snapToGrid w:val="0"/>
        <w:rPr>
          <w:rFonts w:ascii="宋体" w:hAnsi="宋体" w:eastAsia="宋体" w:cs="宋体"/>
          <w:b/>
          <w:snapToGrid w:val="0"/>
          <w:color w:val="auto"/>
          <w:kern w:val="0"/>
          <w:sz w:val="28"/>
          <w:szCs w:val="28"/>
          <w:highlight w:val="none"/>
          <w:u w:val="single"/>
        </w:rPr>
      </w:pPr>
      <w:r>
        <w:rPr>
          <w:rFonts w:hint="eastAsia" w:ascii="宋体" w:hAnsi="宋体" w:eastAsia="宋体" w:cs="宋体"/>
          <w:b/>
          <w:snapToGrid w:val="0"/>
          <w:color w:val="auto"/>
          <w:kern w:val="0"/>
          <w:sz w:val="28"/>
          <w:szCs w:val="28"/>
          <w:highlight w:val="none"/>
          <w:u w:val="single"/>
        </w:rPr>
        <w:t xml:space="preserve">                                                 （项目名称）</w:t>
      </w:r>
    </w:p>
    <w:p>
      <w:pPr>
        <w:tabs>
          <w:tab w:val="left" w:pos="6230"/>
        </w:tabs>
        <w:autoSpaceDE w:val="0"/>
        <w:autoSpaceDN w:val="0"/>
        <w:adjustRightInd w:val="0"/>
        <w:snapToGrid w:val="0"/>
        <w:jc w:val="center"/>
        <w:rPr>
          <w:rFonts w:ascii="宋体" w:hAnsi="宋体" w:eastAsia="宋体" w:cs="宋体"/>
          <w:b/>
          <w:snapToGrid w:val="0"/>
          <w:color w:val="auto"/>
          <w:kern w:val="0"/>
          <w:sz w:val="28"/>
          <w:szCs w:val="28"/>
          <w:highlight w:val="none"/>
        </w:rPr>
      </w:pPr>
    </w:p>
    <w:p>
      <w:pPr>
        <w:tabs>
          <w:tab w:val="left" w:pos="3600"/>
          <w:tab w:val="left" w:pos="4480"/>
          <w:tab w:val="left" w:pos="5360"/>
        </w:tabs>
        <w:autoSpaceDE w:val="0"/>
        <w:autoSpaceDN w:val="0"/>
        <w:adjustRightInd w:val="0"/>
        <w:snapToGrid w:val="0"/>
        <w:rPr>
          <w:rFonts w:ascii="宋体" w:hAnsi="宋体" w:eastAsia="宋体" w:cs="宋体"/>
          <w:snapToGrid w:val="0"/>
          <w:color w:val="auto"/>
          <w:kern w:val="0"/>
          <w:sz w:val="44"/>
          <w:szCs w:val="44"/>
          <w:highlight w:val="none"/>
        </w:rPr>
      </w:pPr>
    </w:p>
    <w:p>
      <w:pPr>
        <w:tabs>
          <w:tab w:val="left" w:pos="3600"/>
          <w:tab w:val="left" w:pos="4480"/>
          <w:tab w:val="left" w:pos="5360"/>
        </w:tabs>
        <w:autoSpaceDE w:val="0"/>
        <w:autoSpaceDN w:val="0"/>
        <w:adjustRightInd w:val="0"/>
        <w:snapToGrid w:val="0"/>
        <w:rPr>
          <w:rFonts w:ascii="宋体" w:hAnsi="宋体" w:eastAsia="宋体" w:cs="宋体"/>
          <w:snapToGrid w:val="0"/>
          <w:color w:val="auto"/>
          <w:kern w:val="0"/>
          <w:sz w:val="44"/>
          <w:szCs w:val="44"/>
          <w:highlight w:val="none"/>
        </w:rPr>
      </w:pPr>
    </w:p>
    <w:p>
      <w:pPr>
        <w:tabs>
          <w:tab w:val="left" w:pos="3600"/>
          <w:tab w:val="left" w:pos="4480"/>
          <w:tab w:val="left" w:pos="5360"/>
        </w:tabs>
        <w:autoSpaceDE w:val="0"/>
        <w:autoSpaceDN w:val="0"/>
        <w:adjustRightInd w:val="0"/>
        <w:snapToGrid w:val="0"/>
        <w:jc w:val="center"/>
        <w:rPr>
          <w:rFonts w:ascii="宋体" w:hAnsi="宋体" w:eastAsia="宋体" w:cs="宋体"/>
          <w:b/>
          <w:snapToGrid w:val="0"/>
          <w:color w:val="auto"/>
          <w:kern w:val="0"/>
          <w:sz w:val="84"/>
          <w:szCs w:val="84"/>
          <w:highlight w:val="none"/>
        </w:rPr>
      </w:pPr>
      <w:r>
        <w:rPr>
          <w:rFonts w:hint="eastAsia" w:ascii="宋体" w:hAnsi="宋体" w:eastAsia="宋体" w:cs="宋体"/>
          <w:b/>
          <w:snapToGrid w:val="0"/>
          <w:color w:val="auto"/>
          <w:kern w:val="0"/>
          <w:sz w:val="84"/>
          <w:szCs w:val="84"/>
          <w:highlight w:val="none"/>
        </w:rPr>
        <w:t>投标文件</w:t>
      </w:r>
    </w:p>
    <w:p>
      <w:pPr>
        <w:autoSpaceDE w:val="0"/>
        <w:autoSpaceDN w:val="0"/>
        <w:adjustRightInd w:val="0"/>
        <w:snapToGrid w:val="0"/>
        <w:rPr>
          <w:rFonts w:ascii="宋体" w:hAnsi="宋体" w:eastAsia="宋体" w:cs="宋体"/>
          <w:snapToGrid w:val="0"/>
          <w:color w:val="auto"/>
          <w:kern w:val="0"/>
          <w:sz w:val="16"/>
          <w:szCs w:val="16"/>
          <w:highlight w:val="none"/>
        </w:rPr>
      </w:pPr>
    </w:p>
    <w:p>
      <w:pPr>
        <w:autoSpaceDE w:val="0"/>
        <w:autoSpaceDN w:val="0"/>
        <w:adjustRightInd w:val="0"/>
        <w:snapToGrid w:val="0"/>
        <w:jc w:val="center"/>
        <w:rPr>
          <w:rFonts w:ascii="宋体" w:hAnsi="宋体" w:eastAsia="宋体" w:cs="宋体"/>
          <w:b/>
          <w:snapToGrid w:val="0"/>
          <w:color w:val="auto"/>
          <w:kern w:val="0"/>
          <w:sz w:val="36"/>
          <w:szCs w:val="36"/>
          <w:highlight w:val="none"/>
        </w:rPr>
      </w:pPr>
      <w:r>
        <w:rPr>
          <w:rFonts w:hint="eastAsia" w:ascii="宋体" w:hAnsi="宋体" w:eastAsia="宋体" w:cs="宋体"/>
          <w:b/>
          <w:snapToGrid w:val="0"/>
          <w:color w:val="auto"/>
          <w:kern w:val="0"/>
          <w:sz w:val="36"/>
          <w:szCs w:val="36"/>
          <w:highlight w:val="none"/>
          <w:lang w:val="en-US" w:eastAsia="zh-CN"/>
        </w:rPr>
        <w:t>商务</w:t>
      </w:r>
      <w:r>
        <w:rPr>
          <w:rFonts w:hint="eastAsia" w:ascii="宋体" w:hAnsi="宋体" w:eastAsia="宋体" w:cs="宋体"/>
          <w:b/>
          <w:snapToGrid w:val="0"/>
          <w:color w:val="auto"/>
          <w:kern w:val="0"/>
          <w:sz w:val="36"/>
          <w:szCs w:val="36"/>
          <w:highlight w:val="none"/>
        </w:rPr>
        <w:t>部分</w:t>
      </w:r>
    </w:p>
    <w:p>
      <w:pPr>
        <w:autoSpaceDE w:val="0"/>
        <w:autoSpaceDN w:val="0"/>
        <w:adjustRightInd w:val="0"/>
        <w:snapToGrid w:val="0"/>
        <w:rPr>
          <w:rFonts w:ascii="宋体" w:hAnsi="宋体" w:eastAsia="宋体" w:cs="宋体"/>
          <w:snapToGrid w:val="0"/>
          <w:color w:val="auto"/>
          <w:kern w:val="0"/>
          <w:sz w:val="20"/>
          <w:szCs w:val="20"/>
          <w:highlight w:val="none"/>
        </w:rPr>
      </w:pPr>
    </w:p>
    <w:p>
      <w:pPr>
        <w:adjustRightInd w:val="0"/>
        <w:snapToGrid w:val="0"/>
        <w:spacing w:line="264" w:lineRule="auto"/>
        <w:ind w:firstLine="720" w:firstLineChars="300"/>
        <w:rPr>
          <w:rFonts w:ascii="宋体" w:hAnsi="宋体" w:eastAsia="宋体" w:cs="宋体"/>
          <w:snapToGrid w:val="0"/>
          <w:color w:val="auto"/>
          <w:kern w:val="0"/>
          <w:szCs w:val="21"/>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autoSpaceDE w:val="0"/>
        <w:autoSpaceDN w:val="0"/>
        <w:adjustRightInd w:val="0"/>
        <w:snapToGrid w:val="0"/>
        <w:rPr>
          <w:rFonts w:ascii="宋体" w:hAnsi="宋体" w:eastAsia="宋体" w:cs="宋体"/>
          <w:snapToGrid w:val="0"/>
          <w:color w:val="auto"/>
          <w:kern w:val="0"/>
          <w:sz w:val="20"/>
          <w:szCs w:val="20"/>
          <w:highlight w:val="none"/>
        </w:rPr>
      </w:pPr>
    </w:p>
    <w:p>
      <w:pPr>
        <w:tabs>
          <w:tab w:val="left" w:pos="6080"/>
          <w:tab w:val="left" w:pos="6640"/>
        </w:tabs>
        <w:autoSpaceDE w:val="0"/>
        <w:autoSpaceDN w:val="0"/>
        <w:adjustRightInd w:val="0"/>
        <w:snapToGrid w:val="0"/>
        <w:rPr>
          <w:rFonts w:ascii="宋体" w:hAnsi="宋体" w:eastAsia="宋体" w:cs="宋体"/>
          <w:b/>
          <w:snapToGrid w:val="0"/>
          <w:color w:val="auto"/>
          <w:w w:val="99"/>
          <w:kern w:val="0"/>
          <w:sz w:val="28"/>
          <w:szCs w:val="28"/>
          <w:highlight w:val="none"/>
        </w:rPr>
      </w:pPr>
      <w:r>
        <w:rPr>
          <w:rFonts w:hint="eastAsia" w:ascii="宋体" w:hAnsi="宋体" w:eastAsia="宋体" w:cs="宋体"/>
          <w:b/>
          <w:snapToGrid w:val="0"/>
          <w:color w:val="auto"/>
          <w:w w:val="99"/>
          <w:kern w:val="0"/>
          <w:sz w:val="28"/>
          <w:szCs w:val="28"/>
          <w:highlight w:val="none"/>
        </w:rPr>
        <w:t>投标人：</w:t>
      </w:r>
      <w:r>
        <w:rPr>
          <w:rFonts w:hint="eastAsia" w:ascii="宋体" w:hAnsi="宋体" w:eastAsia="宋体" w:cs="宋体"/>
          <w:b/>
          <w:snapToGrid w:val="0"/>
          <w:color w:val="auto"/>
          <w:w w:val="198"/>
          <w:kern w:val="0"/>
          <w:sz w:val="28"/>
          <w:szCs w:val="28"/>
          <w:highlight w:val="none"/>
          <w:u w:val="single"/>
        </w:rPr>
        <w:t>　　　　　　</w:t>
      </w:r>
      <w:r>
        <w:rPr>
          <w:rFonts w:hint="eastAsia" w:ascii="宋体" w:hAnsi="宋体" w:eastAsia="宋体" w:cs="宋体"/>
          <w:b/>
          <w:snapToGrid w:val="0"/>
          <w:color w:val="auto"/>
          <w:w w:val="99"/>
          <w:kern w:val="0"/>
          <w:sz w:val="28"/>
          <w:szCs w:val="28"/>
          <w:highlight w:val="none"/>
        </w:rPr>
        <w:t>（盖单位公章）</w:t>
      </w:r>
    </w:p>
    <w:p>
      <w:pPr>
        <w:tabs>
          <w:tab w:val="left" w:pos="6080"/>
          <w:tab w:val="left" w:pos="6640"/>
        </w:tabs>
        <w:autoSpaceDE w:val="0"/>
        <w:autoSpaceDN w:val="0"/>
        <w:adjustRightInd w:val="0"/>
        <w:snapToGrid w:val="0"/>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w w:val="99"/>
          <w:kern w:val="0"/>
          <w:sz w:val="28"/>
          <w:szCs w:val="28"/>
          <w:highlight w:val="none"/>
        </w:rPr>
        <w:t>法定代表人</w:t>
      </w:r>
      <w:r>
        <w:rPr>
          <w:rFonts w:hint="eastAsia" w:ascii="宋体" w:hAnsi="宋体" w:eastAsia="宋体" w:cs="宋体"/>
          <w:b/>
          <w:snapToGrid w:val="0"/>
          <w:color w:val="auto"/>
          <w:w w:val="99"/>
          <w:kern w:val="0"/>
          <w:sz w:val="28"/>
          <w:szCs w:val="28"/>
          <w:highlight w:val="none"/>
          <w:lang w:eastAsia="zh-CN"/>
        </w:rPr>
        <w:t>（单位负责人）</w:t>
      </w:r>
      <w:r>
        <w:rPr>
          <w:rFonts w:hint="eastAsia" w:ascii="宋体" w:hAnsi="宋体" w:eastAsia="宋体" w:cs="宋体"/>
          <w:b/>
          <w:snapToGrid w:val="0"/>
          <w:color w:val="auto"/>
          <w:w w:val="99"/>
          <w:kern w:val="0"/>
          <w:sz w:val="28"/>
          <w:szCs w:val="28"/>
          <w:highlight w:val="none"/>
        </w:rPr>
        <w:t>或其委托代理人：</w:t>
      </w:r>
      <w:r>
        <w:rPr>
          <w:rFonts w:hint="eastAsia" w:ascii="宋体" w:hAnsi="宋体" w:eastAsia="宋体" w:cs="宋体"/>
          <w:b/>
          <w:snapToGrid w:val="0"/>
          <w:color w:val="auto"/>
          <w:w w:val="198"/>
          <w:kern w:val="0"/>
          <w:sz w:val="28"/>
          <w:szCs w:val="28"/>
          <w:highlight w:val="none"/>
          <w:u w:val="single"/>
        </w:rPr>
        <w:t>　　　</w:t>
      </w:r>
      <w:r>
        <w:rPr>
          <w:rFonts w:hint="eastAsia" w:ascii="宋体" w:hAnsi="宋体" w:eastAsia="宋体" w:cs="宋体"/>
          <w:b/>
          <w:snapToGrid w:val="0"/>
          <w:color w:val="auto"/>
          <w:w w:val="99"/>
          <w:kern w:val="0"/>
          <w:sz w:val="28"/>
          <w:szCs w:val="28"/>
          <w:highlight w:val="none"/>
        </w:rPr>
        <w:t>（签字）</w:t>
      </w:r>
    </w:p>
    <w:p>
      <w:pPr>
        <w:jc w:val="center"/>
        <w:rPr>
          <w:rFonts w:ascii="宋体" w:hAnsi="宋体" w:eastAsia="宋体" w:cs="宋体"/>
          <w:snapToGrid w:val="0"/>
          <w:color w:val="auto"/>
          <w:kern w:val="0"/>
          <w:szCs w:val="20"/>
          <w:highlight w:val="none"/>
        </w:rPr>
      </w:pPr>
      <w:r>
        <w:rPr>
          <w:rFonts w:hint="eastAsia" w:ascii="宋体" w:hAnsi="宋体" w:eastAsia="宋体" w:cs="宋体"/>
          <w:b/>
          <w:snapToGrid w:val="0"/>
          <w:color w:val="auto"/>
          <w:w w:val="99"/>
          <w:kern w:val="0"/>
          <w:sz w:val="28"/>
          <w:szCs w:val="28"/>
          <w:highlight w:val="none"/>
        </w:rPr>
        <w:t>年    月    日</w:t>
      </w:r>
    </w:p>
    <w:p>
      <w:pPr>
        <w:jc w:val="center"/>
        <w:rPr>
          <w:rFonts w:ascii="宋体" w:hAnsi="宋体" w:eastAsia="宋体" w:cs="宋体"/>
          <w:snapToGrid w:val="0"/>
          <w:color w:val="auto"/>
          <w:kern w:val="0"/>
          <w:highlight w:val="none"/>
        </w:rPr>
      </w:pPr>
    </w:p>
    <w:p>
      <w:pPr>
        <w:pStyle w:val="44"/>
        <w:rPr>
          <w:rFonts w:hint="eastAsia" w:ascii="宋体" w:hAnsi="宋体" w:eastAsia="宋体" w:cs="宋体"/>
          <w:b/>
          <w:bCs/>
          <w:snapToGrid w:val="0"/>
          <w:color w:val="auto"/>
          <w:kern w:val="0"/>
          <w:sz w:val="21"/>
          <w:szCs w:val="21"/>
          <w:highlight w:val="none"/>
        </w:rPr>
      </w:pPr>
    </w:p>
    <w:p>
      <w:pPr>
        <w:pStyle w:val="44"/>
        <w:rPr>
          <w:rFonts w:hint="eastAsia" w:ascii="宋体" w:hAnsi="宋体" w:eastAsia="宋体" w:cs="宋体"/>
          <w:b/>
          <w:bCs/>
          <w:snapToGrid w:val="0"/>
          <w:color w:val="auto"/>
          <w:kern w:val="0"/>
          <w:sz w:val="21"/>
          <w:szCs w:val="21"/>
          <w:highlight w:val="none"/>
        </w:rPr>
      </w:pPr>
    </w:p>
    <w:p>
      <w:pPr>
        <w:pStyle w:val="44"/>
        <w:rPr>
          <w:rFonts w:hint="eastAsia" w:eastAsia="宋体"/>
          <w:color w:val="auto"/>
          <w:highlight w:val="none"/>
          <w:lang w:eastAsia="zh-CN"/>
        </w:rPr>
        <w:sectPr>
          <w:pgSz w:w="11906" w:h="16838"/>
          <w:pgMar w:top="1418" w:right="1361" w:bottom="1276" w:left="1418" w:header="851" w:footer="992" w:gutter="0"/>
          <w:cols w:space="720" w:num="1"/>
          <w:docGrid w:linePitch="312" w:charSpace="0"/>
        </w:sectPr>
      </w:pPr>
      <w:r>
        <w:rPr>
          <w:rFonts w:hint="eastAsia" w:ascii="宋体" w:hAnsi="宋体" w:eastAsia="宋体" w:cs="宋体"/>
          <w:b/>
          <w:bCs/>
          <w:snapToGrid w:val="0"/>
          <w:color w:val="auto"/>
          <w:kern w:val="0"/>
          <w:sz w:val="21"/>
          <w:szCs w:val="21"/>
          <w:highlight w:val="none"/>
        </w:rPr>
        <w:t>注：</w:t>
      </w:r>
      <w:r>
        <w:rPr>
          <w:rFonts w:hint="eastAsia" w:ascii="宋体" w:hAnsi="宋体" w:cs="宋体"/>
          <w:b/>
          <w:bCs/>
          <w:snapToGrid w:val="0"/>
          <w:color w:val="auto"/>
          <w:kern w:val="0"/>
          <w:sz w:val="21"/>
          <w:szCs w:val="21"/>
          <w:highlight w:val="none"/>
          <w:lang w:val="en-US" w:eastAsia="zh-CN"/>
        </w:rPr>
        <w:t>商务</w:t>
      </w:r>
      <w:r>
        <w:rPr>
          <w:rFonts w:hint="eastAsia" w:ascii="宋体" w:hAnsi="宋体" w:eastAsia="宋体" w:cs="宋体"/>
          <w:b/>
          <w:bCs/>
          <w:snapToGrid w:val="0"/>
          <w:color w:val="auto"/>
          <w:kern w:val="0"/>
          <w:sz w:val="21"/>
          <w:szCs w:val="21"/>
          <w:highlight w:val="none"/>
        </w:rPr>
        <w:t>部分为响应本招标文件的</w:t>
      </w:r>
      <w:r>
        <w:rPr>
          <w:rFonts w:hint="eastAsia" w:ascii="宋体" w:hAnsi="宋体" w:cs="宋体"/>
          <w:b/>
          <w:bCs/>
          <w:snapToGrid w:val="0"/>
          <w:color w:val="auto"/>
          <w:kern w:val="0"/>
          <w:sz w:val="21"/>
          <w:szCs w:val="21"/>
          <w:highlight w:val="none"/>
          <w:lang w:val="en-US" w:eastAsia="zh-CN"/>
        </w:rPr>
        <w:t>商务</w:t>
      </w:r>
      <w:r>
        <w:rPr>
          <w:rFonts w:hint="eastAsia" w:ascii="宋体" w:hAnsi="宋体" w:eastAsia="宋体" w:cs="宋体"/>
          <w:b/>
          <w:bCs/>
          <w:snapToGrid w:val="0"/>
          <w:color w:val="auto"/>
          <w:kern w:val="0"/>
          <w:sz w:val="21"/>
          <w:szCs w:val="21"/>
          <w:highlight w:val="none"/>
        </w:rPr>
        <w:t>要求的相应</w:t>
      </w:r>
      <w:r>
        <w:rPr>
          <w:rFonts w:hint="eastAsia" w:ascii="宋体" w:hAnsi="宋体" w:eastAsia="宋体" w:cs="宋体"/>
          <w:b/>
          <w:bCs/>
          <w:snapToGrid w:val="0"/>
          <w:color w:val="auto"/>
          <w:kern w:val="0"/>
          <w:sz w:val="21"/>
          <w:szCs w:val="21"/>
          <w:highlight w:val="none"/>
          <w:lang w:val="en-US" w:eastAsia="zh-CN"/>
        </w:rPr>
        <w:t>资料</w:t>
      </w:r>
      <w:r>
        <w:rPr>
          <w:rFonts w:hint="eastAsia" w:ascii="宋体" w:hAnsi="宋体" w:eastAsia="宋体" w:cs="宋体"/>
          <w:b/>
          <w:bCs/>
          <w:snapToGrid w:val="0"/>
          <w:color w:val="auto"/>
          <w:kern w:val="0"/>
          <w:sz w:val="21"/>
          <w:szCs w:val="21"/>
          <w:highlight w:val="none"/>
        </w:rPr>
        <w:t>，包括但不限于合同条款、按评</w:t>
      </w:r>
      <w:r>
        <w:rPr>
          <w:rFonts w:hint="eastAsia" w:ascii="宋体" w:hAnsi="宋体" w:cs="宋体"/>
          <w:b/>
          <w:bCs/>
          <w:snapToGrid w:val="0"/>
          <w:color w:val="auto"/>
          <w:kern w:val="0"/>
          <w:sz w:val="21"/>
          <w:szCs w:val="21"/>
          <w:highlight w:val="none"/>
          <w:lang w:val="en-US" w:eastAsia="zh-CN"/>
        </w:rPr>
        <w:t>标</w:t>
      </w:r>
      <w:r>
        <w:rPr>
          <w:rFonts w:hint="eastAsia" w:ascii="宋体" w:hAnsi="宋体" w:eastAsia="宋体" w:cs="宋体"/>
          <w:b/>
          <w:bCs/>
          <w:snapToGrid w:val="0"/>
          <w:color w:val="auto"/>
          <w:kern w:val="0"/>
          <w:sz w:val="21"/>
          <w:szCs w:val="21"/>
          <w:highlight w:val="none"/>
        </w:rPr>
        <w:t>办法需提供的内容等，投标人按招标文件要求自行编制</w:t>
      </w:r>
      <w:r>
        <w:rPr>
          <w:rFonts w:hint="eastAsia" w:ascii="宋体" w:hAnsi="宋体" w:cs="宋体"/>
          <w:b/>
          <w:bCs/>
          <w:snapToGrid w:val="0"/>
          <w:color w:val="auto"/>
          <w:kern w:val="0"/>
          <w:sz w:val="21"/>
          <w:szCs w:val="21"/>
          <w:highlight w:val="none"/>
          <w:lang w:val="en-US" w:eastAsia="zh-CN"/>
        </w:rPr>
        <w:t>商务</w:t>
      </w:r>
      <w:r>
        <w:rPr>
          <w:rFonts w:hint="eastAsia" w:ascii="宋体" w:hAnsi="宋体" w:eastAsia="宋体" w:cs="宋体"/>
          <w:b/>
          <w:bCs/>
          <w:snapToGrid w:val="0"/>
          <w:color w:val="auto"/>
          <w:kern w:val="0"/>
          <w:sz w:val="21"/>
          <w:szCs w:val="21"/>
          <w:highlight w:val="none"/>
        </w:rPr>
        <w:t>部分内容</w:t>
      </w:r>
      <w:r>
        <w:rPr>
          <w:rFonts w:hint="eastAsia" w:ascii="宋体" w:hAnsi="宋体" w:cs="宋体"/>
          <w:b/>
          <w:bCs/>
          <w:snapToGrid w:val="0"/>
          <w:color w:val="auto"/>
          <w:kern w:val="0"/>
          <w:sz w:val="21"/>
          <w:szCs w:val="21"/>
          <w:highlight w:val="none"/>
          <w:lang w:eastAsia="zh-CN"/>
        </w:rPr>
        <w:t>，</w:t>
      </w:r>
      <w:r>
        <w:rPr>
          <w:rFonts w:hint="eastAsia" w:ascii="宋体" w:hAnsi="宋体" w:cs="宋体"/>
          <w:b/>
          <w:bCs/>
          <w:snapToGrid w:val="0"/>
          <w:color w:val="auto"/>
          <w:kern w:val="0"/>
          <w:sz w:val="21"/>
          <w:szCs w:val="21"/>
          <w:highlight w:val="none"/>
          <w:lang w:val="en-US" w:eastAsia="zh-CN"/>
        </w:rPr>
        <w:t>加盖投标人公章</w:t>
      </w:r>
    </w:p>
    <w:p>
      <w:pPr>
        <w:pStyle w:val="44"/>
        <w:ind w:left="0" w:leftChars="0" w:firstLine="0" w:firstLineChars="0"/>
        <w:rPr>
          <w:rFonts w:ascii="宋体" w:hAnsi="宋体" w:eastAsia="宋体" w:cs="宋体"/>
          <w:color w:val="auto"/>
          <w:highlight w:val="none"/>
        </w:rPr>
      </w:pPr>
    </w:p>
    <w:sectPr>
      <w:pgSz w:w="11906" w:h="16838"/>
      <w:pgMar w:top="1418" w:right="1361" w:bottom="1276" w:left="14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N1ZS2dYBAACwAwAADgAAAAAAAAABACAAAAAe&#10;AQAAZHJzL2Uyb0RvYy54bWxQSwUGAAAAAAYABgBZAQAAZg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ALsl+NYBAACwAwAADgAAAAAAAAABACAAAAAe&#10;AQAAZHJzL2Uyb0RvYy54bWxQSwUGAAAAAAYABgBZAQAAZg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51"/>
      </w:rPr>
    </w:pPr>
    <w:r>
      <w:fldChar w:fldCharType="begin"/>
    </w:r>
    <w:r>
      <w:rPr>
        <w:rStyle w:val="51"/>
      </w:rPr>
      <w:instrText xml:space="preserve">PAGE  </w:instrText>
    </w:r>
    <w:r>
      <w:fldChar w:fldCharType="end"/>
    </w:r>
  </w:p>
  <w:p>
    <w:pPr>
      <w:pStyle w:val="2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b/>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&#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kyOtXXAQAAsAMAAA4AAAAAAAAAAQAgAAAA&#10;HgEAAGRycy9lMm9Eb2MueG1sUEsFBgAAAAAGAAYAWQEAAGc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DB004"/>
    <w:multiLevelType w:val="singleLevel"/>
    <w:tmpl w:val="93FDB004"/>
    <w:lvl w:ilvl="0" w:tentative="0">
      <w:start w:val="2"/>
      <w:numFmt w:val="decimal"/>
      <w:lvlText w:val="%1."/>
      <w:lvlJc w:val="left"/>
      <w:pPr>
        <w:tabs>
          <w:tab w:val="left" w:pos="312"/>
        </w:tabs>
      </w:pPr>
    </w:lvl>
  </w:abstractNum>
  <w:abstractNum w:abstractNumId="1">
    <w:nsid w:val="378B0270"/>
    <w:multiLevelType w:val="multilevel"/>
    <w:tmpl w:val="378B02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8C445D"/>
    <w:multiLevelType w:val="singleLevel"/>
    <w:tmpl w:val="448C445D"/>
    <w:lvl w:ilvl="0" w:tentative="0">
      <w:start w:val="4"/>
      <w:numFmt w:val="chineseCounting"/>
      <w:suff w:val="nothing"/>
      <w:lvlText w:val="（%1）"/>
      <w:lvlJc w:val="left"/>
      <w:rPr>
        <w:rFonts w:hint="eastAsia"/>
      </w:rPr>
    </w:lvl>
  </w:abstractNum>
  <w:abstractNum w:abstractNumId="3">
    <w:nsid w:val="449D7931"/>
    <w:multiLevelType w:val="multilevel"/>
    <w:tmpl w:val="449D7931"/>
    <w:lvl w:ilvl="0" w:tentative="0">
      <w:start w:val="1"/>
      <w:numFmt w:val="decimal"/>
      <w:pStyle w:val="12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6D58ED"/>
    <w:multiLevelType w:val="singleLevel"/>
    <w:tmpl w:val="5C6D58ED"/>
    <w:lvl w:ilvl="0" w:tentative="0">
      <w:start w:val="2"/>
      <w:numFmt w:val="decimal"/>
      <w:suff w:val="nothing"/>
      <w:lvlText w:val="（%1）"/>
      <w:lvlJc w:val="left"/>
    </w:lvl>
  </w:abstractNum>
  <w:abstractNum w:abstractNumId="5">
    <w:nsid w:val="7A4A63AF"/>
    <w:multiLevelType w:val="singleLevel"/>
    <w:tmpl w:val="7A4A63AF"/>
    <w:lvl w:ilvl="0" w:tentative="0">
      <w:start w:val="1"/>
      <w:numFmt w:val="decimal"/>
      <w:lvlText w:val="%1."/>
      <w:lvlJc w:val="left"/>
      <w:pPr>
        <w:ind w:left="425" w:hanging="425"/>
      </w:pPr>
      <w:rPr>
        <w:rFont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FF"/>
    <w:rsid w:val="000145B4"/>
    <w:rsid w:val="00051327"/>
    <w:rsid w:val="00052024"/>
    <w:rsid w:val="00052B26"/>
    <w:rsid w:val="00056090"/>
    <w:rsid w:val="000838E0"/>
    <w:rsid w:val="000A527E"/>
    <w:rsid w:val="000A720B"/>
    <w:rsid w:val="000B1A18"/>
    <w:rsid w:val="000B6C2F"/>
    <w:rsid w:val="000C399C"/>
    <w:rsid w:val="000D19E9"/>
    <w:rsid w:val="000D4CFE"/>
    <w:rsid w:val="000D795E"/>
    <w:rsid w:val="000E09FF"/>
    <w:rsid w:val="000E0D17"/>
    <w:rsid w:val="000F0B66"/>
    <w:rsid w:val="00106038"/>
    <w:rsid w:val="001141F4"/>
    <w:rsid w:val="0012250D"/>
    <w:rsid w:val="001403EC"/>
    <w:rsid w:val="00147D1D"/>
    <w:rsid w:val="0016416A"/>
    <w:rsid w:val="00180F58"/>
    <w:rsid w:val="00184BA5"/>
    <w:rsid w:val="001A1C91"/>
    <w:rsid w:val="001C3865"/>
    <w:rsid w:val="001C4B81"/>
    <w:rsid w:val="001D1347"/>
    <w:rsid w:val="001D7D4B"/>
    <w:rsid w:val="001E251A"/>
    <w:rsid w:val="001E3157"/>
    <w:rsid w:val="001E3FD6"/>
    <w:rsid w:val="00207738"/>
    <w:rsid w:val="00221E70"/>
    <w:rsid w:val="002402B2"/>
    <w:rsid w:val="002426B3"/>
    <w:rsid w:val="00247B1C"/>
    <w:rsid w:val="00270EAA"/>
    <w:rsid w:val="002B3C6C"/>
    <w:rsid w:val="002B7C8A"/>
    <w:rsid w:val="002D1BA9"/>
    <w:rsid w:val="002D62F9"/>
    <w:rsid w:val="002D66E8"/>
    <w:rsid w:val="002E184C"/>
    <w:rsid w:val="00317533"/>
    <w:rsid w:val="00330228"/>
    <w:rsid w:val="00342815"/>
    <w:rsid w:val="003549D2"/>
    <w:rsid w:val="003549FD"/>
    <w:rsid w:val="00355D6D"/>
    <w:rsid w:val="003713A1"/>
    <w:rsid w:val="00384F95"/>
    <w:rsid w:val="003A380F"/>
    <w:rsid w:val="003C1BA3"/>
    <w:rsid w:val="003C74C8"/>
    <w:rsid w:val="00454258"/>
    <w:rsid w:val="0045658D"/>
    <w:rsid w:val="00475DEE"/>
    <w:rsid w:val="00482080"/>
    <w:rsid w:val="004B36DA"/>
    <w:rsid w:val="004C58FA"/>
    <w:rsid w:val="004C5A51"/>
    <w:rsid w:val="004E3527"/>
    <w:rsid w:val="004F4CFC"/>
    <w:rsid w:val="00503C01"/>
    <w:rsid w:val="00504A88"/>
    <w:rsid w:val="005135D9"/>
    <w:rsid w:val="005303C4"/>
    <w:rsid w:val="005500BA"/>
    <w:rsid w:val="005577CA"/>
    <w:rsid w:val="005A1C11"/>
    <w:rsid w:val="005A5711"/>
    <w:rsid w:val="005B43A4"/>
    <w:rsid w:val="005D1AE3"/>
    <w:rsid w:val="005E3155"/>
    <w:rsid w:val="005E45FD"/>
    <w:rsid w:val="00602DA7"/>
    <w:rsid w:val="00617752"/>
    <w:rsid w:val="006462D6"/>
    <w:rsid w:val="00652776"/>
    <w:rsid w:val="00656232"/>
    <w:rsid w:val="006608E1"/>
    <w:rsid w:val="00696DC3"/>
    <w:rsid w:val="006B2105"/>
    <w:rsid w:val="006B4F63"/>
    <w:rsid w:val="006B60CF"/>
    <w:rsid w:val="006E13BB"/>
    <w:rsid w:val="006E2740"/>
    <w:rsid w:val="006E322B"/>
    <w:rsid w:val="006F394B"/>
    <w:rsid w:val="00707805"/>
    <w:rsid w:val="0072428C"/>
    <w:rsid w:val="0072647A"/>
    <w:rsid w:val="00726791"/>
    <w:rsid w:val="00730865"/>
    <w:rsid w:val="007313F1"/>
    <w:rsid w:val="00746B06"/>
    <w:rsid w:val="0076581D"/>
    <w:rsid w:val="00767F51"/>
    <w:rsid w:val="007B3251"/>
    <w:rsid w:val="007B672D"/>
    <w:rsid w:val="007C1E19"/>
    <w:rsid w:val="007C4763"/>
    <w:rsid w:val="007D4170"/>
    <w:rsid w:val="007D7214"/>
    <w:rsid w:val="007F2668"/>
    <w:rsid w:val="0082219C"/>
    <w:rsid w:val="008349DD"/>
    <w:rsid w:val="00836F0F"/>
    <w:rsid w:val="0084060B"/>
    <w:rsid w:val="00851858"/>
    <w:rsid w:val="008527B4"/>
    <w:rsid w:val="00855500"/>
    <w:rsid w:val="0086602F"/>
    <w:rsid w:val="00875AD6"/>
    <w:rsid w:val="008812A9"/>
    <w:rsid w:val="008979F4"/>
    <w:rsid w:val="008A596E"/>
    <w:rsid w:val="008B6FFD"/>
    <w:rsid w:val="008C33FC"/>
    <w:rsid w:val="008D2DE5"/>
    <w:rsid w:val="008E0FC0"/>
    <w:rsid w:val="008E115A"/>
    <w:rsid w:val="008E14D0"/>
    <w:rsid w:val="008E4FE6"/>
    <w:rsid w:val="0091291E"/>
    <w:rsid w:val="0094135D"/>
    <w:rsid w:val="00950019"/>
    <w:rsid w:val="009710D4"/>
    <w:rsid w:val="0098233C"/>
    <w:rsid w:val="009A277D"/>
    <w:rsid w:val="009B5318"/>
    <w:rsid w:val="009D3FCC"/>
    <w:rsid w:val="009D63D8"/>
    <w:rsid w:val="009E32DE"/>
    <w:rsid w:val="009E56BF"/>
    <w:rsid w:val="00A31E95"/>
    <w:rsid w:val="00A34CAA"/>
    <w:rsid w:val="00A42B81"/>
    <w:rsid w:val="00A7286A"/>
    <w:rsid w:val="00A76F5C"/>
    <w:rsid w:val="00A81993"/>
    <w:rsid w:val="00AA38FD"/>
    <w:rsid w:val="00AA5A39"/>
    <w:rsid w:val="00AB0CD3"/>
    <w:rsid w:val="00AB0D7C"/>
    <w:rsid w:val="00AC5C1B"/>
    <w:rsid w:val="00AC704D"/>
    <w:rsid w:val="00AF557F"/>
    <w:rsid w:val="00B15CFA"/>
    <w:rsid w:val="00B16573"/>
    <w:rsid w:val="00B44489"/>
    <w:rsid w:val="00B4731D"/>
    <w:rsid w:val="00B57F1B"/>
    <w:rsid w:val="00B81BA5"/>
    <w:rsid w:val="00B85194"/>
    <w:rsid w:val="00B87FB2"/>
    <w:rsid w:val="00B941A9"/>
    <w:rsid w:val="00B95515"/>
    <w:rsid w:val="00B958BF"/>
    <w:rsid w:val="00B963E8"/>
    <w:rsid w:val="00BA364E"/>
    <w:rsid w:val="00BC6FF0"/>
    <w:rsid w:val="00BF1498"/>
    <w:rsid w:val="00BF6553"/>
    <w:rsid w:val="00BF70F2"/>
    <w:rsid w:val="00C33195"/>
    <w:rsid w:val="00C6795C"/>
    <w:rsid w:val="00C846F9"/>
    <w:rsid w:val="00C85A53"/>
    <w:rsid w:val="00C861F8"/>
    <w:rsid w:val="00CF1901"/>
    <w:rsid w:val="00CF5D75"/>
    <w:rsid w:val="00D03239"/>
    <w:rsid w:val="00D26194"/>
    <w:rsid w:val="00D26D0E"/>
    <w:rsid w:val="00D303F2"/>
    <w:rsid w:val="00D3390E"/>
    <w:rsid w:val="00D52AA3"/>
    <w:rsid w:val="00D61C0B"/>
    <w:rsid w:val="00D705B9"/>
    <w:rsid w:val="00D73A9B"/>
    <w:rsid w:val="00D90B83"/>
    <w:rsid w:val="00DB1853"/>
    <w:rsid w:val="00DB2EBB"/>
    <w:rsid w:val="00DC167F"/>
    <w:rsid w:val="00DC7582"/>
    <w:rsid w:val="00DD07AC"/>
    <w:rsid w:val="00DD77C3"/>
    <w:rsid w:val="00DE2B1B"/>
    <w:rsid w:val="00E01983"/>
    <w:rsid w:val="00E02B99"/>
    <w:rsid w:val="00E04703"/>
    <w:rsid w:val="00E071E5"/>
    <w:rsid w:val="00E141D8"/>
    <w:rsid w:val="00E23776"/>
    <w:rsid w:val="00E329E5"/>
    <w:rsid w:val="00E43FBA"/>
    <w:rsid w:val="00E44370"/>
    <w:rsid w:val="00E527A5"/>
    <w:rsid w:val="00E610AC"/>
    <w:rsid w:val="00E77428"/>
    <w:rsid w:val="00E824C1"/>
    <w:rsid w:val="00E91DBC"/>
    <w:rsid w:val="00E97BB3"/>
    <w:rsid w:val="00EA7FBD"/>
    <w:rsid w:val="00EB0E55"/>
    <w:rsid w:val="00EB7598"/>
    <w:rsid w:val="00EC41B5"/>
    <w:rsid w:val="00EF7319"/>
    <w:rsid w:val="00F06968"/>
    <w:rsid w:val="00F119BA"/>
    <w:rsid w:val="00F254FC"/>
    <w:rsid w:val="00F3133D"/>
    <w:rsid w:val="00F77CB7"/>
    <w:rsid w:val="00F831F9"/>
    <w:rsid w:val="00F90F7F"/>
    <w:rsid w:val="00F97E43"/>
    <w:rsid w:val="00FB4C9C"/>
    <w:rsid w:val="00FC4E38"/>
    <w:rsid w:val="00FC5D53"/>
    <w:rsid w:val="00FC6CE8"/>
    <w:rsid w:val="00FE7802"/>
    <w:rsid w:val="00FF04E0"/>
    <w:rsid w:val="00FF627E"/>
    <w:rsid w:val="010F1694"/>
    <w:rsid w:val="01392545"/>
    <w:rsid w:val="0146159D"/>
    <w:rsid w:val="01890BE8"/>
    <w:rsid w:val="01AE3325"/>
    <w:rsid w:val="01B36C6D"/>
    <w:rsid w:val="01C94B9F"/>
    <w:rsid w:val="01FA02A0"/>
    <w:rsid w:val="023F0687"/>
    <w:rsid w:val="025F01DF"/>
    <w:rsid w:val="02770226"/>
    <w:rsid w:val="0393069B"/>
    <w:rsid w:val="03A40BEE"/>
    <w:rsid w:val="04236390"/>
    <w:rsid w:val="04C1206F"/>
    <w:rsid w:val="05097FAE"/>
    <w:rsid w:val="05265DB8"/>
    <w:rsid w:val="05854FC5"/>
    <w:rsid w:val="05D84DF9"/>
    <w:rsid w:val="060243C4"/>
    <w:rsid w:val="060801B8"/>
    <w:rsid w:val="06565671"/>
    <w:rsid w:val="065F1ABF"/>
    <w:rsid w:val="07084320"/>
    <w:rsid w:val="07112913"/>
    <w:rsid w:val="071B7393"/>
    <w:rsid w:val="0744560B"/>
    <w:rsid w:val="07A01BDE"/>
    <w:rsid w:val="07A84A29"/>
    <w:rsid w:val="07F6097D"/>
    <w:rsid w:val="08187C24"/>
    <w:rsid w:val="081C76B3"/>
    <w:rsid w:val="082D71FA"/>
    <w:rsid w:val="08C80CC8"/>
    <w:rsid w:val="08D8142D"/>
    <w:rsid w:val="08FC515C"/>
    <w:rsid w:val="099F3C24"/>
    <w:rsid w:val="09C71470"/>
    <w:rsid w:val="09C82C66"/>
    <w:rsid w:val="0A692EE0"/>
    <w:rsid w:val="0A772501"/>
    <w:rsid w:val="0AA57F9E"/>
    <w:rsid w:val="0AEE5F9F"/>
    <w:rsid w:val="0AF73CF5"/>
    <w:rsid w:val="0B163327"/>
    <w:rsid w:val="0B4069DE"/>
    <w:rsid w:val="0BC90A40"/>
    <w:rsid w:val="0C042D46"/>
    <w:rsid w:val="0C7E5CC3"/>
    <w:rsid w:val="0C8A5FB6"/>
    <w:rsid w:val="0C9262A5"/>
    <w:rsid w:val="0D0B3019"/>
    <w:rsid w:val="0D10095C"/>
    <w:rsid w:val="0D1D5123"/>
    <w:rsid w:val="0D6E01A0"/>
    <w:rsid w:val="0D6E5D81"/>
    <w:rsid w:val="0D701EE3"/>
    <w:rsid w:val="0DFF127E"/>
    <w:rsid w:val="0E540CCC"/>
    <w:rsid w:val="0E7962A4"/>
    <w:rsid w:val="0F260138"/>
    <w:rsid w:val="0F5A257E"/>
    <w:rsid w:val="0F9D4E36"/>
    <w:rsid w:val="0FC35BE1"/>
    <w:rsid w:val="106542FF"/>
    <w:rsid w:val="10A6502E"/>
    <w:rsid w:val="111D554D"/>
    <w:rsid w:val="11822A2C"/>
    <w:rsid w:val="12176559"/>
    <w:rsid w:val="121775B7"/>
    <w:rsid w:val="12C9007E"/>
    <w:rsid w:val="12E90DC7"/>
    <w:rsid w:val="130A4E4B"/>
    <w:rsid w:val="131C01F5"/>
    <w:rsid w:val="13B76F3E"/>
    <w:rsid w:val="143C6882"/>
    <w:rsid w:val="14770A05"/>
    <w:rsid w:val="14820898"/>
    <w:rsid w:val="14A70209"/>
    <w:rsid w:val="14FD3D87"/>
    <w:rsid w:val="153A7BF4"/>
    <w:rsid w:val="154E1DFB"/>
    <w:rsid w:val="15682A36"/>
    <w:rsid w:val="158953B8"/>
    <w:rsid w:val="15A3786D"/>
    <w:rsid w:val="16683A87"/>
    <w:rsid w:val="16EA4C50"/>
    <w:rsid w:val="17096788"/>
    <w:rsid w:val="17600B1C"/>
    <w:rsid w:val="17AC3D3B"/>
    <w:rsid w:val="17CD201C"/>
    <w:rsid w:val="18346A7C"/>
    <w:rsid w:val="192A1C4E"/>
    <w:rsid w:val="192B1F3F"/>
    <w:rsid w:val="195C62A7"/>
    <w:rsid w:val="19975E0F"/>
    <w:rsid w:val="1A494070"/>
    <w:rsid w:val="1A5408D3"/>
    <w:rsid w:val="1A745BD3"/>
    <w:rsid w:val="1A8F3BA4"/>
    <w:rsid w:val="1AD3658E"/>
    <w:rsid w:val="1AE236E0"/>
    <w:rsid w:val="1B886E8F"/>
    <w:rsid w:val="1C002397"/>
    <w:rsid w:val="1C1D5E63"/>
    <w:rsid w:val="1C92603C"/>
    <w:rsid w:val="1D08386A"/>
    <w:rsid w:val="1D491825"/>
    <w:rsid w:val="1D813F92"/>
    <w:rsid w:val="1D830870"/>
    <w:rsid w:val="1D8F2B0D"/>
    <w:rsid w:val="1E070888"/>
    <w:rsid w:val="1E0C717B"/>
    <w:rsid w:val="1E235B70"/>
    <w:rsid w:val="1E594FCD"/>
    <w:rsid w:val="1E767B55"/>
    <w:rsid w:val="1F031D1B"/>
    <w:rsid w:val="1F073FF7"/>
    <w:rsid w:val="1F1958F6"/>
    <w:rsid w:val="1F8D507E"/>
    <w:rsid w:val="1FB96D9D"/>
    <w:rsid w:val="1FCB30A9"/>
    <w:rsid w:val="1FD26045"/>
    <w:rsid w:val="1FE96637"/>
    <w:rsid w:val="2089221A"/>
    <w:rsid w:val="20DE6F2A"/>
    <w:rsid w:val="214D13C0"/>
    <w:rsid w:val="215A1E8C"/>
    <w:rsid w:val="215C4E9F"/>
    <w:rsid w:val="21746078"/>
    <w:rsid w:val="220A05AB"/>
    <w:rsid w:val="22215C0E"/>
    <w:rsid w:val="22276796"/>
    <w:rsid w:val="224040FF"/>
    <w:rsid w:val="224455CE"/>
    <w:rsid w:val="227B0EB3"/>
    <w:rsid w:val="229A0763"/>
    <w:rsid w:val="22A745A2"/>
    <w:rsid w:val="22FE281F"/>
    <w:rsid w:val="233F78CB"/>
    <w:rsid w:val="238A0B03"/>
    <w:rsid w:val="23C0110F"/>
    <w:rsid w:val="242A342C"/>
    <w:rsid w:val="24405445"/>
    <w:rsid w:val="257E5779"/>
    <w:rsid w:val="263C0C1A"/>
    <w:rsid w:val="263C4385"/>
    <w:rsid w:val="269D3C6C"/>
    <w:rsid w:val="26F67684"/>
    <w:rsid w:val="27371225"/>
    <w:rsid w:val="27457876"/>
    <w:rsid w:val="282E1F36"/>
    <w:rsid w:val="282F4B05"/>
    <w:rsid w:val="28412B7B"/>
    <w:rsid w:val="284638AF"/>
    <w:rsid w:val="28704587"/>
    <w:rsid w:val="28940EFA"/>
    <w:rsid w:val="295032C3"/>
    <w:rsid w:val="2A0C27A8"/>
    <w:rsid w:val="2A331239"/>
    <w:rsid w:val="2A590910"/>
    <w:rsid w:val="2A8D1520"/>
    <w:rsid w:val="2A903A36"/>
    <w:rsid w:val="2B182796"/>
    <w:rsid w:val="2B24614E"/>
    <w:rsid w:val="2B2F60BC"/>
    <w:rsid w:val="2B307D39"/>
    <w:rsid w:val="2B6C1B4F"/>
    <w:rsid w:val="2B9F0230"/>
    <w:rsid w:val="2BFB1C68"/>
    <w:rsid w:val="2C2054EF"/>
    <w:rsid w:val="2C3C139F"/>
    <w:rsid w:val="2CCF1165"/>
    <w:rsid w:val="2CD27544"/>
    <w:rsid w:val="2CE974F7"/>
    <w:rsid w:val="2CF131E9"/>
    <w:rsid w:val="2D2B1A38"/>
    <w:rsid w:val="2D81181F"/>
    <w:rsid w:val="2E8051B8"/>
    <w:rsid w:val="2EA237EB"/>
    <w:rsid w:val="2EB44F44"/>
    <w:rsid w:val="2EF9271D"/>
    <w:rsid w:val="2F58715D"/>
    <w:rsid w:val="2F955A2D"/>
    <w:rsid w:val="2FA842D0"/>
    <w:rsid w:val="2FE9215A"/>
    <w:rsid w:val="3001091B"/>
    <w:rsid w:val="300113D6"/>
    <w:rsid w:val="30466253"/>
    <w:rsid w:val="306328D5"/>
    <w:rsid w:val="30AB695C"/>
    <w:rsid w:val="30B14E13"/>
    <w:rsid w:val="30E4498C"/>
    <w:rsid w:val="31302422"/>
    <w:rsid w:val="31510D7F"/>
    <w:rsid w:val="31657EC8"/>
    <w:rsid w:val="31672CFE"/>
    <w:rsid w:val="31852045"/>
    <w:rsid w:val="31E41B7B"/>
    <w:rsid w:val="31FE5ACE"/>
    <w:rsid w:val="322F3A2E"/>
    <w:rsid w:val="32375D35"/>
    <w:rsid w:val="327306B7"/>
    <w:rsid w:val="32897F28"/>
    <w:rsid w:val="32F53A96"/>
    <w:rsid w:val="330A58ED"/>
    <w:rsid w:val="338D7FCB"/>
    <w:rsid w:val="33DE6CB6"/>
    <w:rsid w:val="33F65B62"/>
    <w:rsid w:val="34265EEC"/>
    <w:rsid w:val="345529F9"/>
    <w:rsid w:val="346D5A4D"/>
    <w:rsid w:val="34FF393F"/>
    <w:rsid w:val="351A6D3C"/>
    <w:rsid w:val="351B51E2"/>
    <w:rsid w:val="353362A8"/>
    <w:rsid w:val="35344943"/>
    <w:rsid w:val="355A66A0"/>
    <w:rsid w:val="371C2B51"/>
    <w:rsid w:val="37F033E8"/>
    <w:rsid w:val="38655A4F"/>
    <w:rsid w:val="38694E80"/>
    <w:rsid w:val="38870CBB"/>
    <w:rsid w:val="38BF6A92"/>
    <w:rsid w:val="38C75B21"/>
    <w:rsid w:val="38E34F5D"/>
    <w:rsid w:val="38F00210"/>
    <w:rsid w:val="393119BE"/>
    <w:rsid w:val="39A7068F"/>
    <w:rsid w:val="39D864CC"/>
    <w:rsid w:val="3A375AE7"/>
    <w:rsid w:val="3A4D1A21"/>
    <w:rsid w:val="3ABB7F30"/>
    <w:rsid w:val="3AE8696D"/>
    <w:rsid w:val="3B152300"/>
    <w:rsid w:val="3B434888"/>
    <w:rsid w:val="3B6D6709"/>
    <w:rsid w:val="3BB70897"/>
    <w:rsid w:val="3BCB29D1"/>
    <w:rsid w:val="3C4A5529"/>
    <w:rsid w:val="3CA84A9C"/>
    <w:rsid w:val="3CD9535E"/>
    <w:rsid w:val="3CE762F3"/>
    <w:rsid w:val="3CE94F0F"/>
    <w:rsid w:val="3D406149"/>
    <w:rsid w:val="3D6446FB"/>
    <w:rsid w:val="3D7E7F66"/>
    <w:rsid w:val="3DA4330D"/>
    <w:rsid w:val="3E1636A2"/>
    <w:rsid w:val="3E603774"/>
    <w:rsid w:val="3EB02CF3"/>
    <w:rsid w:val="3EBF23B2"/>
    <w:rsid w:val="3F277297"/>
    <w:rsid w:val="3F4E0B7F"/>
    <w:rsid w:val="400A0A96"/>
    <w:rsid w:val="402C532F"/>
    <w:rsid w:val="40C6595A"/>
    <w:rsid w:val="40CA14AF"/>
    <w:rsid w:val="41061D2E"/>
    <w:rsid w:val="410B5E35"/>
    <w:rsid w:val="41D951C4"/>
    <w:rsid w:val="425E052E"/>
    <w:rsid w:val="426002DD"/>
    <w:rsid w:val="42A828BC"/>
    <w:rsid w:val="435B39D9"/>
    <w:rsid w:val="44053F89"/>
    <w:rsid w:val="44076267"/>
    <w:rsid w:val="4448787E"/>
    <w:rsid w:val="44567EFE"/>
    <w:rsid w:val="448421FA"/>
    <w:rsid w:val="449A5255"/>
    <w:rsid w:val="44A2720B"/>
    <w:rsid w:val="44C74ED7"/>
    <w:rsid w:val="45B63D40"/>
    <w:rsid w:val="45EB144C"/>
    <w:rsid w:val="46863C83"/>
    <w:rsid w:val="46CA261B"/>
    <w:rsid w:val="46F402F9"/>
    <w:rsid w:val="4736740D"/>
    <w:rsid w:val="47B21630"/>
    <w:rsid w:val="47C64019"/>
    <w:rsid w:val="47E70C01"/>
    <w:rsid w:val="48634752"/>
    <w:rsid w:val="487E7C2C"/>
    <w:rsid w:val="48C432DB"/>
    <w:rsid w:val="48CB3FF6"/>
    <w:rsid w:val="492B1D9D"/>
    <w:rsid w:val="49370204"/>
    <w:rsid w:val="49DA4002"/>
    <w:rsid w:val="49E74E6D"/>
    <w:rsid w:val="49F35B99"/>
    <w:rsid w:val="4A500030"/>
    <w:rsid w:val="4A5D0DA4"/>
    <w:rsid w:val="4AE71689"/>
    <w:rsid w:val="4B010670"/>
    <w:rsid w:val="4B0125DE"/>
    <w:rsid w:val="4B1641D3"/>
    <w:rsid w:val="4B334FAE"/>
    <w:rsid w:val="4B80573E"/>
    <w:rsid w:val="4B85500A"/>
    <w:rsid w:val="4BC02F7F"/>
    <w:rsid w:val="4BD30C5E"/>
    <w:rsid w:val="4BF855A9"/>
    <w:rsid w:val="4BFF06F9"/>
    <w:rsid w:val="4C1C0313"/>
    <w:rsid w:val="4D74617B"/>
    <w:rsid w:val="4DB01D14"/>
    <w:rsid w:val="4DB72150"/>
    <w:rsid w:val="4DB8253F"/>
    <w:rsid w:val="4DBF177D"/>
    <w:rsid w:val="4E6E559C"/>
    <w:rsid w:val="4E747268"/>
    <w:rsid w:val="4E837064"/>
    <w:rsid w:val="4E85592A"/>
    <w:rsid w:val="4EA91529"/>
    <w:rsid w:val="4EAB5272"/>
    <w:rsid w:val="4EC005C0"/>
    <w:rsid w:val="4F4B0A14"/>
    <w:rsid w:val="4F7A6E3A"/>
    <w:rsid w:val="4F961818"/>
    <w:rsid w:val="4FD265AC"/>
    <w:rsid w:val="4FD418ED"/>
    <w:rsid w:val="500F74A9"/>
    <w:rsid w:val="503F5DCB"/>
    <w:rsid w:val="5049646E"/>
    <w:rsid w:val="505D55F5"/>
    <w:rsid w:val="5091186C"/>
    <w:rsid w:val="50E24660"/>
    <w:rsid w:val="510A12EE"/>
    <w:rsid w:val="51260648"/>
    <w:rsid w:val="513F312D"/>
    <w:rsid w:val="51644DE7"/>
    <w:rsid w:val="51A16992"/>
    <w:rsid w:val="51AE0A09"/>
    <w:rsid w:val="51C14556"/>
    <w:rsid w:val="51C16678"/>
    <w:rsid w:val="51E176B3"/>
    <w:rsid w:val="520E38C5"/>
    <w:rsid w:val="52675B08"/>
    <w:rsid w:val="527B539B"/>
    <w:rsid w:val="5298122D"/>
    <w:rsid w:val="52CD6F86"/>
    <w:rsid w:val="537D20CA"/>
    <w:rsid w:val="53980022"/>
    <w:rsid w:val="54107434"/>
    <w:rsid w:val="54171641"/>
    <w:rsid w:val="541F450D"/>
    <w:rsid w:val="544A6CBB"/>
    <w:rsid w:val="5482798B"/>
    <w:rsid w:val="54891EED"/>
    <w:rsid w:val="54D33BA7"/>
    <w:rsid w:val="54EC2292"/>
    <w:rsid w:val="55322190"/>
    <w:rsid w:val="559C5592"/>
    <w:rsid w:val="562667EB"/>
    <w:rsid w:val="56E3040A"/>
    <w:rsid w:val="56F13C1F"/>
    <w:rsid w:val="57B22C53"/>
    <w:rsid w:val="57ED40E1"/>
    <w:rsid w:val="583A36BF"/>
    <w:rsid w:val="58AA75B3"/>
    <w:rsid w:val="58BA183F"/>
    <w:rsid w:val="58BA39EF"/>
    <w:rsid w:val="58C84253"/>
    <w:rsid w:val="58F505AC"/>
    <w:rsid w:val="593B7545"/>
    <w:rsid w:val="5940714B"/>
    <w:rsid w:val="5980031E"/>
    <w:rsid w:val="59AC0D97"/>
    <w:rsid w:val="59DC369F"/>
    <w:rsid w:val="59E407EE"/>
    <w:rsid w:val="5A4E07AA"/>
    <w:rsid w:val="5B6E7A2A"/>
    <w:rsid w:val="5B914CCB"/>
    <w:rsid w:val="5BBB1900"/>
    <w:rsid w:val="5BC46041"/>
    <w:rsid w:val="5BE42DFC"/>
    <w:rsid w:val="5BEF308B"/>
    <w:rsid w:val="5C8E7079"/>
    <w:rsid w:val="5C974F7C"/>
    <w:rsid w:val="5CBA457D"/>
    <w:rsid w:val="5D4C2C87"/>
    <w:rsid w:val="5D4E3EA2"/>
    <w:rsid w:val="5DA07264"/>
    <w:rsid w:val="5DFC4D20"/>
    <w:rsid w:val="5E0375F3"/>
    <w:rsid w:val="5E12711B"/>
    <w:rsid w:val="5E337D5F"/>
    <w:rsid w:val="5E92736A"/>
    <w:rsid w:val="5E9D01A2"/>
    <w:rsid w:val="5F4040F3"/>
    <w:rsid w:val="5F525C6A"/>
    <w:rsid w:val="5F59453A"/>
    <w:rsid w:val="5F7C519C"/>
    <w:rsid w:val="5FA6207F"/>
    <w:rsid w:val="60300679"/>
    <w:rsid w:val="60AF681E"/>
    <w:rsid w:val="60E33D67"/>
    <w:rsid w:val="61AF36CB"/>
    <w:rsid w:val="625A1AEF"/>
    <w:rsid w:val="627F7E56"/>
    <w:rsid w:val="6286543C"/>
    <w:rsid w:val="62E426A2"/>
    <w:rsid w:val="632A3349"/>
    <w:rsid w:val="633C2191"/>
    <w:rsid w:val="635C3B13"/>
    <w:rsid w:val="636200A7"/>
    <w:rsid w:val="637779C9"/>
    <w:rsid w:val="639A6438"/>
    <w:rsid w:val="639D5BD0"/>
    <w:rsid w:val="64115EBA"/>
    <w:rsid w:val="642D3C8D"/>
    <w:rsid w:val="6443260D"/>
    <w:rsid w:val="645A395C"/>
    <w:rsid w:val="64BB5496"/>
    <w:rsid w:val="64D252A9"/>
    <w:rsid w:val="651D3980"/>
    <w:rsid w:val="657A0489"/>
    <w:rsid w:val="660D0DC4"/>
    <w:rsid w:val="663E5BFD"/>
    <w:rsid w:val="675446FF"/>
    <w:rsid w:val="6766607E"/>
    <w:rsid w:val="679E07A3"/>
    <w:rsid w:val="67EE49CF"/>
    <w:rsid w:val="6800757F"/>
    <w:rsid w:val="68106481"/>
    <w:rsid w:val="685A5890"/>
    <w:rsid w:val="687B7721"/>
    <w:rsid w:val="68BC247B"/>
    <w:rsid w:val="68EC7CA5"/>
    <w:rsid w:val="690B065C"/>
    <w:rsid w:val="695472F5"/>
    <w:rsid w:val="69695263"/>
    <w:rsid w:val="697C6894"/>
    <w:rsid w:val="6A317974"/>
    <w:rsid w:val="6A717DED"/>
    <w:rsid w:val="6ABC70F6"/>
    <w:rsid w:val="6AC73906"/>
    <w:rsid w:val="6AF41229"/>
    <w:rsid w:val="6AF9637E"/>
    <w:rsid w:val="6B20217F"/>
    <w:rsid w:val="6B37552E"/>
    <w:rsid w:val="6B572EC9"/>
    <w:rsid w:val="6BE4067F"/>
    <w:rsid w:val="6C4669B6"/>
    <w:rsid w:val="6C4F7597"/>
    <w:rsid w:val="6C9D417A"/>
    <w:rsid w:val="6CAE5D83"/>
    <w:rsid w:val="6CBA343E"/>
    <w:rsid w:val="6D0D217D"/>
    <w:rsid w:val="6D6B4A59"/>
    <w:rsid w:val="6D7F11A1"/>
    <w:rsid w:val="6E3A01AC"/>
    <w:rsid w:val="6E6C2F62"/>
    <w:rsid w:val="6E6C7C38"/>
    <w:rsid w:val="6E960B17"/>
    <w:rsid w:val="6F1129DA"/>
    <w:rsid w:val="6F1C7313"/>
    <w:rsid w:val="6F7E3742"/>
    <w:rsid w:val="6FB72F14"/>
    <w:rsid w:val="70015C5B"/>
    <w:rsid w:val="70210FA5"/>
    <w:rsid w:val="706B6909"/>
    <w:rsid w:val="706F6BD0"/>
    <w:rsid w:val="710B0755"/>
    <w:rsid w:val="71610E25"/>
    <w:rsid w:val="716A10EC"/>
    <w:rsid w:val="717C62FC"/>
    <w:rsid w:val="71B77C1D"/>
    <w:rsid w:val="71F3205D"/>
    <w:rsid w:val="7271486B"/>
    <w:rsid w:val="72890A57"/>
    <w:rsid w:val="72D603B4"/>
    <w:rsid w:val="72D77AE8"/>
    <w:rsid w:val="72F652AA"/>
    <w:rsid w:val="74577DEE"/>
    <w:rsid w:val="746313D6"/>
    <w:rsid w:val="747C583C"/>
    <w:rsid w:val="74C75A27"/>
    <w:rsid w:val="74CA6140"/>
    <w:rsid w:val="74F85D9C"/>
    <w:rsid w:val="753233B5"/>
    <w:rsid w:val="75356437"/>
    <w:rsid w:val="757D1D1C"/>
    <w:rsid w:val="75D31E18"/>
    <w:rsid w:val="75DE423B"/>
    <w:rsid w:val="76BA0DFD"/>
    <w:rsid w:val="76BC763C"/>
    <w:rsid w:val="76CE686C"/>
    <w:rsid w:val="76CF0EA3"/>
    <w:rsid w:val="76DA2986"/>
    <w:rsid w:val="77353F39"/>
    <w:rsid w:val="77A00D8B"/>
    <w:rsid w:val="77DA421F"/>
    <w:rsid w:val="77EF2F10"/>
    <w:rsid w:val="784A4AFE"/>
    <w:rsid w:val="78914630"/>
    <w:rsid w:val="793C019B"/>
    <w:rsid w:val="79B107A7"/>
    <w:rsid w:val="79C13327"/>
    <w:rsid w:val="79E512F4"/>
    <w:rsid w:val="79F624A0"/>
    <w:rsid w:val="7AD148E6"/>
    <w:rsid w:val="7B0175A1"/>
    <w:rsid w:val="7B1C16AA"/>
    <w:rsid w:val="7B79575C"/>
    <w:rsid w:val="7C5A6975"/>
    <w:rsid w:val="7C667C86"/>
    <w:rsid w:val="7D55660A"/>
    <w:rsid w:val="7D686435"/>
    <w:rsid w:val="7D936B82"/>
    <w:rsid w:val="7DF43694"/>
    <w:rsid w:val="7EC04C71"/>
    <w:rsid w:val="7EFA57FF"/>
    <w:rsid w:val="7F3150B0"/>
    <w:rsid w:val="7FD6459E"/>
    <w:rsid w:val="7FEF37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微软雅黑" w:cs="Times New Roman"/>
      <w:kern w:val="2"/>
      <w:sz w:val="24"/>
      <w:szCs w:val="24"/>
      <w:lang w:val="en-US" w:eastAsia="zh-CN" w:bidi="ar-SA"/>
    </w:rPr>
  </w:style>
  <w:style w:type="paragraph" w:styleId="3">
    <w:name w:val="heading 1"/>
    <w:basedOn w:val="1"/>
    <w:next w:val="1"/>
    <w:link w:val="57"/>
    <w:qFormat/>
    <w:uiPriority w:val="0"/>
    <w:pPr>
      <w:keepNext/>
      <w:keepLines/>
      <w:spacing w:line="578" w:lineRule="auto"/>
      <w:outlineLvl w:val="0"/>
    </w:pPr>
    <w:rPr>
      <w:b/>
      <w:bCs/>
      <w:kern w:val="44"/>
      <w:sz w:val="44"/>
      <w:szCs w:val="44"/>
    </w:rPr>
  </w:style>
  <w:style w:type="paragraph" w:styleId="4">
    <w:name w:val="heading 2"/>
    <w:basedOn w:val="1"/>
    <w:next w:val="1"/>
    <w:link w:val="58"/>
    <w:qFormat/>
    <w:uiPriority w:val="0"/>
    <w:pPr>
      <w:keepNext/>
      <w:keepLines/>
      <w:spacing w:line="416" w:lineRule="auto"/>
      <w:outlineLvl w:val="1"/>
    </w:pPr>
    <w:rPr>
      <w:b/>
      <w:bCs/>
      <w:snapToGrid w:val="0"/>
      <w:color w:val="000000"/>
      <w:kern w:val="0"/>
      <w:sz w:val="32"/>
      <w:szCs w:val="32"/>
    </w:rPr>
  </w:style>
  <w:style w:type="paragraph" w:styleId="5">
    <w:name w:val="heading 3"/>
    <w:basedOn w:val="1"/>
    <w:next w:val="1"/>
    <w:link w:val="59"/>
    <w:qFormat/>
    <w:uiPriority w:val="0"/>
    <w:pPr>
      <w:keepNext/>
      <w:keepLines/>
      <w:spacing w:line="416" w:lineRule="auto"/>
      <w:outlineLvl w:val="2"/>
    </w:pPr>
    <w:rPr>
      <w:b/>
      <w:bCs/>
      <w:kern w:val="0"/>
      <w:sz w:val="28"/>
      <w:szCs w:val="32"/>
    </w:rPr>
  </w:style>
  <w:style w:type="paragraph" w:styleId="6">
    <w:name w:val="heading 4"/>
    <w:basedOn w:val="1"/>
    <w:next w:val="1"/>
    <w:link w:val="60"/>
    <w:qFormat/>
    <w:uiPriority w:val="0"/>
    <w:pPr>
      <w:widowControl/>
      <w:spacing w:before="100" w:beforeAutospacing="1" w:after="100" w:afterAutospacing="1"/>
      <w:outlineLvl w:val="3"/>
    </w:pPr>
    <w:rPr>
      <w:rFonts w:ascii="宋体" w:hAnsi="宋体"/>
      <w:b/>
      <w:bCs/>
      <w:kern w:val="0"/>
    </w:rPr>
  </w:style>
  <w:style w:type="paragraph" w:styleId="7">
    <w:name w:val="heading 5"/>
    <w:basedOn w:val="1"/>
    <w:next w:val="1"/>
    <w:link w:val="61"/>
    <w:qFormat/>
    <w:uiPriority w:val="0"/>
    <w:pPr>
      <w:widowControl/>
      <w:spacing w:before="100" w:beforeAutospacing="1" w:after="100" w:afterAutospacing="1"/>
      <w:outlineLvl w:val="4"/>
    </w:pPr>
    <w:rPr>
      <w:rFonts w:ascii="宋体" w:hAnsi="宋体"/>
      <w:b/>
      <w:bCs/>
      <w:kern w:val="0"/>
      <w:sz w:val="20"/>
      <w:szCs w:val="20"/>
    </w:rPr>
  </w:style>
  <w:style w:type="paragraph" w:styleId="8">
    <w:name w:val="heading 6"/>
    <w:basedOn w:val="9"/>
    <w:next w:val="1"/>
    <w:link w:val="62"/>
    <w:qFormat/>
    <w:uiPriority w:val="0"/>
    <w:pPr>
      <w:keepNext/>
      <w:keepLines/>
      <w:ind w:firstLine="200" w:firstLineChars="200"/>
      <w:outlineLvl w:val="5"/>
    </w:pPr>
    <w:rPr>
      <w:rFonts w:hAnsi="Arial"/>
    </w:rPr>
  </w:style>
  <w:style w:type="paragraph" w:styleId="10">
    <w:name w:val="heading 7"/>
    <w:basedOn w:val="1"/>
    <w:next w:val="1"/>
    <w:link w:val="6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64"/>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65"/>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9"/>
    <w:qFormat/>
    <w:uiPriority w:val="0"/>
    <w:pPr>
      <w:spacing w:after="120"/>
    </w:pPr>
    <w:rPr>
      <w:kern w:val="0"/>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pPr>
    <w:rPr>
      <w:sz w:val="18"/>
      <w:szCs w:val="18"/>
    </w:rPr>
  </w:style>
  <w:style w:type="paragraph" w:styleId="14">
    <w:name w:val="Document Map"/>
    <w:basedOn w:val="1"/>
    <w:link w:val="66"/>
    <w:qFormat/>
    <w:uiPriority w:val="0"/>
    <w:pPr>
      <w:shd w:val="clear" w:color="auto" w:fill="000080"/>
    </w:pPr>
    <w:rPr>
      <w:kern w:val="0"/>
    </w:rPr>
  </w:style>
  <w:style w:type="paragraph" w:styleId="15">
    <w:name w:val="annotation text"/>
    <w:basedOn w:val="1"/>
    <w:link w:val="67"/>
    <w:unhideWhenUsed/>
    <w:qFormat/>
    <w:uiPriority w:val="99"/>
    <w:rPr>
      <w:kern w:val="0"/>
    </w:rPr>
  </w:style>
  <w:style w:type="paragraph" w:styleId="16">
    <w:name w:val="Body Text 3"/>
    <w:basedOn w:val="1"/>
    <w:link w:val="68"/>
    <w:qFormat/>
    <w:uiPriority w:val="0"/>
    <w:pPr>
      <w:spacing w:after="120"/>
    </w:pPr>
    <w:rPr>
      <w:kern w:val="0"/>
      <w:sz w:val="16"/>
      <w:szCs w:val="16"/>
    </w:rPr>
  </w:style>
  <w:style w:type="paragraph" w:styleId="17">
    <w:name w:val="Body Text Indent"/>
    <w:basedOn w:val="1"/>
    <w:next w:val="1"/>
    <w:link w:val="70"/>
    <w:qFormat/>
    <w:uiPriority w:val="0"/>
    <w:pPr>
      <w:ind w:firstLine="407" w:firstLineChars="200"/>
    </w:pPr>
    <w:rPr>
      <w:kern w:val="0"/>
    </w:rPr>
  </w:style>
  <w:style w:type="paragraph" w:styleId="18">
    <w:name w:val="Block Text"/>
    <w:basedOn w:val="1"/>
    <w:qFormat/>
    <w:uiPriority w:val="0"/>
    <w:pPr>
      <w:autoSpaceDE w:val="0"/>
      <w:autoSpaceDN w:val="0"/>
      <w:adjustRightInd w:val="0"/>
      <w:spacing w:line="1270" w:lineRule="exact"/>
      <w:ind w:left="2160" w:right="-20" w:hanging="2160" w:hangingChars="300"/>
    </w:pPr>
    <w:rPr>
      <w:rFonts w:eastAsia="仿宋_GB2312"/>
      <w:sz w:val="72"/>
    </w:rPr>
  </w:style>
  <w:style w:type="paragraph" w:styleId="19">
    <w:name w:val="toc 5"/>
    <w:basedOn w:val="1"/>
    <w:next w:val="1"/>
    <w:qFormat/>
    <w:uiPriority w:val="39"/>
    <w:pPr>
      <w:ind w:left="840"/>
    </w:pPr>
    <w:rPr>
      <w:sz w:val="18"/>
      <w:szCs w:val="18"/>
    </w:rPr>
  </w:style>
  <w:style w:type="paragraph" w:styleId="20">
    <w:name w:val="toc 3"/>
    <w:basedOn w:val="5"/>
    <w:next w:val="1"/>
    <w:qFormat/>
    <w:uiPriority w:val="39"/>
    <w:pPr>
      <w:keepNext w:val="0"/>
      <w:keepLines w:val="0"/>
      <w:spacing w:line="240" w:lineRule="auto"/>
      <w:ind w:left="420"/>
      <w:outlineLvl w:val="9"/>
    </w:pPr>
    <w:rPr>
      <w:b w:val="0"/>
      <w:bCs w:val="0"/>
      <w:iCs/>
      <w:sz w:val="21"/>
      <w:szCs w:val="20"/>
    </w:rPr>
  </w:style>
  <w:style w:type="paragraph" w:styleId="21">
    <w:name w:val="Plain Text"/>
    <w:basedOn w:val="1"/>
    <w:link w:val="71"/>
    <w:qFormat/>
    <w:uiPriority w:val="99"/>
    <w:rPr>
      <w:rFonts w:ascii="宋体" w:hAnsi="Courier New"/>
      <w:kern w:val="0"/>
      <w:szCs w:val="21"/>
    </w:rPr>
  </w:style>
  <w:style w:type="paragraph" w:styleId="22">
    <w:name w:val="toc 8"/>
    <w:basedOn w:val="1"/>
    <w:next w:val="1"/>
    <w:qFormat/>
    <w:uiPriority w:val="39"/>
    <w:pPr>
      <w:ind w:left="1470"/>
    </w:pPr>
    <w:rPr>
      <w:sz w:val="18"/>
      <w:szCs w:val="18"/>
    </w:rPr>
  </w:style>
  <w:style w:type="paragraph" w:styleId="23">
    <w:name w:val="Date"/>
    <w:basedOn w:val="1"/>
    <w:next w:val="1"/>
    <w:link w:val="72"/>
    <w:qFormat/>
    <w:uiPriority w:val="0"/>
    <w:pPr>
      <w:ind w:left="100" w:leftChars="2500"/>
    </w:pPr>
    <w:rPr>
      <w:kern w:val="0"/>
    </w:rPr>
  </w:style>
  <w:style w:type="paragraph" w:styleId="24">
    <w:name w:val="Body Text Indent 2"/>
    <w:basedOn w:val="1"/>
    <w:link w:val="73"/>
    <w:qFormat/>
    <w:uiPriority w:val="0"/>
    <w:pPr>
      <w:widowControl/>
      <w:spacing w:line="480" w:lineRule="auto"/>
      <w:ind w:firstLine="560"/>
    </w:pPr>
    <w:rPr>
      <w:kern w:val="0"/>
      <w:sz w:val="28"/>
    </w:rPr>
  </w:style>
  <w:style w:type="paragraph" w:styleId="25">
    <w:name w:val="endnote text"/>
    <w:basedOn w:val="1"/>
    <w:link w:val="74"/>
    <w:qFormat/>
    <w:uiPriority w:val="0"/>
    <w:pPr>
      <w:widowControl/>
      <w:snapToGrid w:val="0"/>
    </w:pPr>
    <w:rPr>
      <w:rFonts w:ascii="Arial" w:hAnsi="Arial"/>
      <w:kern w:val="0"/>
      <w:sz w:val="20"/>
      <w:lang w:eastAsia="en-US"/>
    </w:rPr>
  </w:style>
  <w:style w:type="paragraph" w:styleId="26">
    <w:name w:val="Balloon Text"/>
    <w:basedOn w:val="1"/>
    <w:link w:val="75"/>
    <w:qFormat/>
    <w:uiPriority w:val="0"/>
    <w:rPr>
      <w:kern w:val="0"/>
      <w:sz w:val="18"/>
      <w:szCs w:val="18"/>
    </w:rPr>
  </w:style>
  <w:style w:type="paragraph" w:styleId="27">
    <w:name w:val="footer"/>
    <w:basedOn w:val="1"/>
    <w:link w:val="76"/>
    <w:unhideWhenUsed/>
    <w:qFormat/>
    <w:uiPriority w:val="99"/>
    <w:pPr>
      <w:tabs>
        <w:tab w:val="center" w:pos="4153"/>
        <w:tab w:val="right" w:pos="8306"/>
      </w:tabs>
      <w:snapToGrid w:val="0"/>
    </w:pPr>
    <w:rPr>
      <w:rFonts w:ascii="Calibri" w:hAnsi="Calibri" w:eastAsia="宋体"/>
      <w:kern w:val="0"/>
      <w:sz w:val="18"/>
      <w:szCs w:val="18"/>
    </w:rPr>
  </w:style>
  <w:style w:type="paragraph" w:styleId="28">
    <w:name w:val="header"/>
    <w:basedOn w:val="1"/>
    <w:link w:val="77"/>
    <w:unhideWhenUsed/>
    <w:qFormat/>
    <w:uiPriority w:val="0"/>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9">
    <w:name w:val="toc 1"/>
    <w:basedOn w:val="1"/>
    <w:next w:val="1"/>
    <w:qFormat/>
    <w:uiPriority w:val="39"/>
    <w:pPr>
      <w:keepNext w:val="0"/>
      <w:keepLines w:val="0"/>
      <w:tabs>
        <w:tab w:val="right" w:leader="dot" w:pos="9117"/>
      </w:tabs>
      <w:spacing w:before="120" w:after="120" w:line="240" w:lineRule="auto"/>
      <w:outlineLvl w:val="9"/>
    </w:pPr>
    <w:rPr>
      <w:caps/>
      <w:kern w:val="2"/>
      <w:sz w:val="28"/>
      <w:szCs w:val="20"/>
    </w:rPr>
  </w:style>
  <w:style w:type="paragraph" w:styleId="30">
    <w:name w:val="toc 4"/>
    <w:basedOn w:val="6"/>
    <w:next w:val="1"/>
    <w:qFormat/>
    <w:uiPriority w:val="39"/>
    <w:pPr>
      <w:widowControl w:val="0"/>
      <w:spacing w:before="0" w:beforeAutospacing="0" w:after="0" w:afterAutospacing="0"/>
      <w:ind w:left="630"/>
      <w:outlineLvl w:val="9"/>
    </w:pPr>
    <w:rPr>
      <w:rFonts w:ascii="Times New Roman" w:hAnsi="Times New Roman"/>
      <w:b w:val="0"/>
      <w:bCs w:val="0"/>
      <w:kern w:val="2"/>
      <w:sz w:val="18"/>
      <w:szCs w:val="18"/>
    </w:rPr>
  </w:style>
  <w:style w:type="paragraph" w:styleId="31">
    <w:name w:val="Subtitle"/>
    <w:basedOn w:val="1"/>
    <w:link w:val="78"/>
    <w:qFormat/>
    <w:uiPriority w:val="0"/>
    <w:pPr>
      <w:widowControl/>
      <w:jc w:val="center"/>
    </w:pPr>
    <w:rPr>
      <w:kern w:val="0"/>
      <w:sz w:val="20"/>
      <w:u w:val="single"/>
      <w:lang w:eastAsia="en-US"/>
    </w:rPr>
  </w:style>
  <w:style w:type="paragraph" w:styleId="32">
    <w:name w:val="List"/>
    <w:basedOn w:val="1"/>
    <w:qFormat/>
    <w:uiPriority w:val="0"/>
    <w:pPr>
      <w:ind w:left="200" w:hanging="200" w:hangingChars="200"/>
      <w:contextualSpacing/>
    </w:pPr>
  </w:style>
  <w:style w:type="paragraph" w:styleId="33">
    <w:name w:val="footnote text"/>
    <w:basedOn w:val="1"/>
    <w:link w:val="79"/>
    <w:qFormat/>
    <w:uiPriority w:val="0"/>
    <w:pPr>
      <w:widowControl/>
      <w:snapToGrid w:val="0"/>
    </w:pPr>
    <w:rPr>
      <w:rFonts w:ascii="Arial" w:hAnsi="Arial"/>
      <w:kern w:val="0"/>
      <w:sz w:val="18"/>
      <w:szCs w:val="18"/>
      <w:lang w:eastAsia="en-US"/>
    </w:rPr>
  </w:style>
  <w:style w:type="paragraph" w:styleId="34">
    <w:name w:val="toc 6"/>
    <w:basedOn w:val="1"/>
    <w:next w:val="1"/>
    <w:qFormat/>
    <w:uiPriority w:val="39"/>
    <w:pPr>
      <w:ind w:left="1050"/>
    </w:pPr>
    <w:rPr>
      <w:sz w:val="18"/>
      <w:szCs w:val="18"/>
    </w:rPr>
  </w:style>
  <w:style w:type="paragraph" w:styleId="35">
    <w:name w:val="Body Text Indent 3"/>
    <w:basedOn w:val="1"/>
    <w:link w:val="80"/>
    <w:qFormat/>
    <w:uiPriority w:val="0"/>
    <w:pPr>
      <w:ind w:firstLine="280" w:firstLineChars="100"/>
    </w:pPr>
    <w:rPr>
      <w:rFonts w:ascii="宋体" w:hAnsi="宋体"/>
      <w:kern w:val="0"/>
      <w:sz w:val="28"/>
      <w:szCs w:val="28"/>
    </w:rPr>
  </w:style>
  <w:style w:type="paragraph" w:styleId="36">
    <w:name w:val="toc 2"/>
    <w:basedOn w:val="4"/>
    <w:next w:val="1"/>
    <w:qFormat/>
    <w:uiPriority w:val="39"/>
    <w:pPr>
      <w:keepNext w:val="0"/>
      <w:keepLines w:val="0"/>
      <w:tabs>
        <w:tab w:val="right" w:leader="dot" w:pos="9117"/>
      </w:tabs>
      <w:spacing w:line="360" w:lineRule="auto"/>
      <w:ind w:left="210"/>
      <w:outlineLvl w:val="9"/>
    </w:pPr>
    <w:rPr>
      <w:b w:val="0"/>
      <w:bCs w:val="0"/>
      <w:smallCaps/>
      <w:sz w:val="24"/>
      <w:szCs w:val="20"/>
    </w:rPr>
  </w:style>
  <w:style w:type="paragraph" w:styleId="37">
    <w:name w:val="toc 9"/>
    <w:basedOn w:val="1"/>
    <w:next w:val="1"/>
    <w:qFormat/>
    <w:uiPriority w:val="39"/>
    <w:pPr>
      <w:ind w:left="1680"/>
    </w:pPr>
    <w:rPr>
      <w:sz w:val="18"/>
      <w:szCs w:val="18"/>
    </w:rPr>
  </w:style>
  <w:style w:type="paragraph" w:styleId="38">
    <w:name w:val="Body Text 2"/>
    <w:basedOn w:val="1"/>
    <w:link w:val="81"/>
    <w:qFormat/>
    <w:uiPriority w:val="0"/>
    <w:rPr>
      <w:i/>
      <w:iCs/>
      <w:kern w:val="0"/>
      <w:sz w:val="26"/>
    </w:rPr>
  </w:style>
  <w:style w:type="paragraph" w:styleId="39">
    <w:name w:val="HTML Preformatted"/>
    <w:basedOn w:val="1"/>
    <w:link w:val="8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olor w:val="000000"/>
      <w:kern w:val="0"/>
    </w:rPr>
  </w:style>
  <w:style w:type="paragraph" w:styleId="40">
    <w:name w:val="Normal (Web)"/>
    <w:basedOn w:val="1"/>
    <w:unhideWhenUsed/>
    <w:qFormat/>
    <w:uiPriority w:val="0"/>
    <w:pPr>
      <w:widowControl/>
      <w:spacing w:before="100" w:beforeAutospacing="1" w:after="100" w:afterAutospacing="1"/>
    </w:pPr>
    <w:rPr>
      <w:rFonts w:ascii="宋体" w:hAnsi="宋体" w:cs="宋体"/>
      <w:kern w:val="0"/>
    </w:rPr>
  </w:style>
  <w:style w:type="paragraph" w:styleId="41">
    <w:name w:val="index 1"/>
    <w:basedOn w:val="1"/>
    <w:next w:val="1"/>
    <w:qFormat/>
    <w:uiPriority w:val="0"/>
    <w:pPr>
      <w:spacing w:line="220" w:lineRule="exact"/>
      <w:jc w:val="center"/>
    </w:pPr>
    <w:rPr>
      <w:rFonts w:ascii="仿宋_GB2312" w:eastAsia="仿宋_GB2312"/>
      <w:szCs w:val="21"/>
    </w:rPr>
  </w:style>
  <w:style w:type="paragraph" w:styleId="42">
    <w:name w:val="Title"/>
    <w:basedOn w:val="1"/>
    <w:link w:val="83"/>
    <w:qFormat/>
    <w:uiPriority w:val="0"/>
    <w:pPr>
      <w:widowControl/>
      <w:jc w:val="center"/>
    </w:pPr>
    <w:rPr>
      <w:kern w:val="0"/>
      <w:sz w:val="20"/>
      <w:u w:val="single"/>
      <w:lang w:eastAsia="en-US"/>
    </w:rPr>
  </w:style>
  <w:style w:type="paragraph" w:styleId="43">
    <w:name w:val="annotation subject"/>
    <w:basedOn w:val="15"/>
    <w:next w:val="15"/>
    <w:link w:val="84"/>
    <w:qFormat/>
    <w:uiPriority w:val="0"/>
    <w:rPr>
      <w:b/>
      <w:bCs/>
    </w:rPr>
  </w:style>
  <w:style w:type="paragraph" w:styleId="44">
    <w:name w:val="Body Text First Indent"/>
    <w:basedOn w:val="2"/>
    <w:qFormat/>
    <w:uiPriority w:val="0"/>
    <w:pPr>
      <w:adjustRightInd/>
      <w:spacing w:after="120" w:line="240" w:lineRule="auto"/>
      <w:ind w:firstLine="420"/>
      <w:textAlignment w:val="auto"/>
    </w:pPr>
    <w:rPr>
      <w:rFonts w:eastAsia="宋体"/>
      <w:kern w:val="2"/>
      <w:sz w:val="21"/>
    </w:rPr>
  </w:style>
  <w:style w:type="paragraph" w:styleId="45">
    <w:name w:val="Body Text First Indent 2"/>
    <w:basedOn w:val="17"/>
    <w:next w:val="1"/>
    <w:semiHidden/>
    <w:unhideWhenUsed/>
    <w:qFormat/>
    <w:uiPriority w:val="99"/>
    <w:pPr>
      <w:spacing w:after="120" w:line="240" w:lineRule="auto"/>
      <w:ind w:left="420" w:leftChars="200" w:firstLine="420"/>
    </w:pPr>
    <w:rPr>
      <w:rFonts w:ascii="Times New Roman" w:hAnsi="Times New Roman" w:eastAsia="宋体"/>
      <w:color w:val="auto"/>
      <w:sz w:val="21"/>
      <w:szCs w:val="24"/>
    </w:rPr>
  </w:style>
  <w:style w:type="table" w:styleId="47">
    <w:name w:val="Table Grid"/>
    <w:basedOn w:val="4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无间隔1"/>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character" w:customStyle="1" w:styleId="57">
    <w:name w:val="标题 1 字符"/>
    <w:link w:val="3"/>
    <w:qFormat/>
    <w:uiPriority w:val="0"/>
    <w:rPr>
      <w:rFonts w:ascii="Times New Roman" w:hAnsi="Times New Roman" w:eastAsia="微软雅黑" w:cs="Times New Roman"/>
      <w:b/>
      <w:bCs/>
      <w:kern w:val="44"/>
      <w:sz w:val="44"/>
      <w:szCs w:val="44"/>
    </w:rPr>
  </w:style>
  <w:style w:type="character" w:customStyle="1" w:styleId="58">
    <w:name w:val="标题 2 字符"/>
    <w:link w:val="4"/>
    <w:qFormat/>
    <w:uiPriority w:val="0"/>
    <w:rPr>
      <w:rFonts w:ascii="Times New Roman" w:hAnsi="Times New Roman" w:eastAsia="微软雅黑" w:cs="Times New Roman"/>
      <w:b/>
      <w:bCs/>
      <w:snapToGrid w:val="0"/>
      <w:color w:val="000000"/>
      <w:kern w:val="0"/>
      <w:sz w:val="32"/>
      <w:szCs w:val="32"/>
    </w:rPr>
  </w:style>
  <w:style w:type="character" w:customStyle="1" w:styleId="59">
    <w:name w:val="标题 3 字符"/>
    <w:link w:val="5"/>
    <w:qFormat/>
    <w:uiPriority w:val="0"/>
    <w:rPr>
      <w:rFonts w:ascii="Times New Roman" w:hAnsi="Times New Roman" w:eastAsia="微软雅黑" w:cs="Times New Roman"/>
      <w:b/>
      <w:bCs/>
      <w:sz w:val="28"/>
      <w:szCs w:val="32"/>
    </w:rPr>
  </w:style>
  <w:style w:type="character" w:customStyle="1" w:styleId="60">
    <w:name w:val="标题 4 字符"/>
    <w:link w:val="6"/>
    <w:qFormat/>
    <w:uiPriority w:val="0"/>
    <w:rPr>
      <w:rFonts w:ascii="宋体" w:hAnsi="宋体" w:eastAsia="微软雅黑" w:cs="Times New Roman"/>
      <w:b/>
      <w:bCs/>
      <w:kern w:val="0"/>
      <w:sz w:val="24"/>
      <w:szCs w:val="24"/>
    </w:rPr>
  </w:style>
  <w:style w:type="character" w:customStyle="1" w:styleId="61">
    <w:name w:val="标题 5 字符"/>
    <w:link w:val="7"/>
    <w:qFormat/>
    <w:uiPriority w:val="0"/>
    <w:rPr>
      <w:rFonts w:ascii="宋体" w:hAnsi="宋体" w:eastAsia="微软雅黑" w:cs="Times New Roman"/>
      <w:b/>
      <w:bCs/>
      <w:kern w:val="0"/>
      <w:sz w:val="20"/>
      <w:szCs w:val="20"/>
    </w:rPr>
  </w:style>
  <w:style w:type="character" w:customStyle="1" w:styleId="62">
    <w:name w:val="标题 6 字符"/>
    <w:link w:val="8"/>
    <w:qFormat/>
    <w:uiPriority w:val="0"/>
    <w:rPr>
      <w:rFonts w:ascii="Times New Roman" w:hAnsi="Arial" w:eastAsia="仿宋_GB2312" w:cs="Times New Roman"/>
      <w:kern w:val="0"/>
      <w:sz w:val="30"/>
      <w:szCs w:val="20"/>
    </w:rPr>
  </w:style>
  <w:style w:type="character" w:customStyle="1" w:styleId="63">
    <w:name w:val="标题 7 字符"/>
    <w:link w:val="10"/>
    <w:qFormat/>
    <w:uiPriority w:val="0"/>
    <w:rPr>
      <w:rFonts w:ascii="Times New Roman" w:hAnsi="Times New Roman" w:eastAsia="仿宋_GB2312" w:cs="Times New Roman"/>
      <w:kern w:val="0"/>
      <w:sz w:val="30"/>
      <w:szCs w:val="20"/>
    </w:rPr>
  </w:style>
  <w:style w:type="character" w:customStyle="1" w:styleId="64">
    <w:name w:val="标题 8 字符"/>
    <w:link w:val="11"/>
    <w:qFormat/>
    <w:uiPriority w:val="0"/>
    <w:rPr>
      <w:rFonts w:ascii="Times New Roman" w:hAnsi="Arial" w:eastAsia="仿宋_GB2312" w:cs="Times New Roman"/>
      <w:kern w:val="0"/>
      <w:sz w:val="30"/>
      <w:szCs w:val="20"/>
    </w:rPr>
  </w:style>
  <w:style w:type="character" w:customStyle="1" w:styleId="65">
    <w:name w:val="标题 9 字符"/>
    <w:link w:val="12"/>
    <w:qFormat/>
    <w:uiPriority w:val="0"/>
    <w:rPr>
      <w:rFonts w:ascii="Times New Roman" w:hAnsi="Times New Roman" w:eastAsia="仿宋_GB2312" w:cs="Times New Roman"/>
      <w:kern w:val="0"/>
      <w:sz w:val="30"/>
      <w:szCs w:val="20"/>
    </w:rPr>
  </w:style>
  <w:style w:type="character" w:customStyle="1" w:styleId="66">
    <w:name w:val="文档结构图 字符"/>
    <w:link w:val="14"/>
    <w:qFormat/>
    <w:uiPriority w:val="0"/>
    <w:rPr>
      <w:rFonts w:ascii="Times New Roman" w:hAnsi="Times New Roman" w:eastAsia="微软雅黑" w:cs="Times New Roman"/>
      <w:sz w:val="24"/>
      <w:szCs w:val="24"/>
      <w:shd w:val="clear" w:color="auto" w:fill="000080"/>
    </w:rPr>
  </w:style>
  <w:style w:type="character" w:customStyle="1" w:styleId="67">
    <w:name w:val="批注文字 字符"/>
    <w:link w:val="15"/>
    <w:qFormat/>
    <w:uiPriority w:val="99"/>
    <w:rPr>
      <w:rFonts w:ascii="Times New Roman" w:hAnsi="Times New Roman" w:eastAsia="微软雅黑" w:cs="Times New Roman"/>
      <w:sz w:val="24"/>
      <w:szCs w:val="24"/>
    </w:rPr>
  </w:style>
  <w:style w:type="character" w:customStyle="1" w:styleId="68">
    <w:name w:val="正文文本 3 字符"/>
    <w:link w:val="16"/>
    <w:qFormat/>
    <w:uiPriority w:val="0"/>
    <w:rPr>
      <w:rFonts w:ascii="Times New Roman" w:hAnsi="Times New Roman" w:eastAsia="微软雅黑" w:cs="Times New Roman"/>
      <w:sz w:val="16"/>
      <w:szCs w:val="16"/>
    </w:rPr>
  </w:style>
  <w:style w:type="character" w:customStyle="1" w:styleId="69">
    <w:name w:val="正文文本 字符"/>
    <w:link w:val="2"/>
    <w:qFormat/>
    <w:uiPriority w:val="0"/>
    <w:rPr>
      <w:rFonts w:ascii="Times New Roman" w:hAnsi="Times New Roman" w:eastAsia="微软雅黑" w:cs="Times New Roman"/>
      <w:sz w:val="24"/>
      <w:szCs w:val="24"/>
    </w:rPr>
  </w:style>
  <w:style w:type="character" w:customStyle="1" w:styleId="70">
    <w:name w:val="正文文本缩进 字符"/>
    <w:link w:val="17"/>
    <w:qFormat/>
    <w:uiPriority w:val="0"/>
    <w:rPr>
      <w:rFonts w:ascii="Times New Roman" w:hAnsi="Times New Roman" w:eastAsia="微软雅黑" w:cs="Times New Roman"/>
      <w:sz w:val="24"/>
      <w:szCs w:val="24"/>
    </w:rPr>
  </w:style>
  <w:style w:type="character" w:customStyle="1" w:styleId="71">
    <w:name w:val="纯文本 字符"/>
    <w:link w:val="21"/>
    <w:qFormat/>
    <w:uiPriority w:val="99"/>
    <w:rPr>
      <w:rFonts w:ascii="宋体" w:hAnsi="Courier New" w:eastAsia="微软雅黑" w:cs="Times New Roman"/>
      <w:sz w:val="24"/>
      <w:szCs w:val="21"/>
    </w:rPr>
  </w:style>
  <w:style w:type="character" w:customStyle="1" w:styleId="72">
    <w:name w:val="日期 字符"/>
    <w:link w:val="23"/>
    <w:qFormat/>
    <w:uiPriority w:val="0"/>
    <w:rPr>
      <w:rFonts w:ascii="Times New Roman" w:hAnsi="Times New Roman" w:eastAsia="微软雅黑" w:cs="Times New Roman"/>
      <w:sz w:val="24"/>
      <w:szCs w:val="24"/>
    </w:rPr>
  </w:style>
  <w:style w:type="character" w:customStyle="1" w:styleId="73">
    <w:name w:val="正文文本缩进 2 字符"/>
    <w:link w:val="24"/>
    <w:qFormat/>
    <w:uiPriority w:val="0"/>
    <w:rPr>
      <w:rFonts w:ascii="Times New Roman" w:hAnsi="Times New Roman" w:eastAsia="微软雅黑" w:cs="Times New Roman"/>
      <w:kern w:val="0"/>
      <w:sz w:val="28"/>
      <w:szCs w:val="24"/>
    </w:rPr>
  </w:style>
  <w:style w:type="character" w:customStyle="1" w:styleId="74">
    <w:name w:val="尾注文本 字符"/>
    <w:link w:val="25"/>
    <w:qFormat/>
    <w:uiPriority w:val="0"/>
    <w:rPr>
      <w:rFonts w:ascii="Arial" w:hAnsi="Arial" w:eastAsia="微软雅黑" w:cs="Times New Roman"/>
      <w:kern w:val="0"/>
      <w:sz w:val="20"/>
      <w:szCs w:val="24"/>
      <w:lang w:eastAsia="en-US"/>
    </w:rPr>
  </w:style>
  <w:style w:type="character" w:customStyle="1" w:styleId="75">
    <w:name w:val="批注框文本 字符"/>
    <w:link w:val="26"/>
    <w:qFormat/>
    <w:uiPriority w:val="0"/>
    <w:rPr>
      <w:rFonts w:ascii="Times New Roman" w:hAnsi="Times New Roman" w:eastAsia="微软雅黑" w:cs="Times New Roman"/>
      <w:sz w:val="18"/>
      <w:szCs w:val="18"/>
    </w:rPr>
  </w:style>
  <w:style w:type="character" w:customStyle="1" w:styleId="76">
    <w:name w:val="页脚 字符"/>
    <w:link w:val="27"/>
    <w:qFormat/>
    <w:uiPriority w:val="99"/>
    <w:rPr>
      <w:sz w:val="18"/>
      <w:szCs w:val="18"/>
    </w:rPr>
  </w:style>
  <w:style w:type="character" w:customStyle="1" w:styleId="77">
    <w:name w:val="页眉 字符"/>
    <w:link w:val="28"/>
    <w:qFormat/>
    <w:uiPriority w:val="0"/>
    <w:rPr>
      <w:sz w:val="18"/>
      <w:szCs w:val="18"/>
    </w:rPr>
  </w:style>
  <w:style w:type="character" w:customStyle="1" w:styleId="78">
    <w:name w:val="副标题 字符"/>
    <w:link w:val="31"/>
    <w:qFormat/>
    <w:uiPriority w:val="0"/>
    <w:rPr>
      <w:rFonts w:ascii="Times New Roman" w:hAnsi="Times New Roman" w:eastAsia="微软雅黑" w:cs="Times New Roman"/>
      <w:kern w:val="0"/>
      <w:sz w:val="20"/>
      <w:szCs w:val="24"/>
      <w:u w:val="single"/>
      <w:lang w:eastAsia="en-US"/>
    </w:rPr>
  </w:style>
  <w:style w:type="character" w:customStyle="1" w:styleId="79">
    <w:name w:val="脚注文本 字符"/>
    <w:link w:val="33"/>
    <w:qFormat/>
    <w:uiPriority w:val="0"/>
    <w:rPr>
      <w:rFonts w:ascii="Arial" w:hAnsi="Arial" w:eastAsia="微软雅黑" w:cs="Times New Roman"/>
      <w:kern w:val="0"/>
      <w:sz w:val="18"/>
      <w:szCs w:val="18"/>
      <w:lang w:eastAsia="en-US"/>
    </w:rPr>
  </w:style>
  <w:style w:type="character" w:customStyle="1" w:styleId="80">
    <w:name w:val="正文文本缩进 3 字符"/>
    <w:link w:val="35"/>
    <w:qFormat/>
    <w:uiPriority w:val="0"/>
    <w:rPr>
      <w:rFonts w:ascii="宋体" w:hAnsi="宋体" w:eastAsia="微软雅黑" w:cs="Times New Roman"/>
      <w:sz w:val="28"/>
      <w:szCs w:val="28"/>
    </w:rPr>
  </w:style>
  <w:style w:type="character" w:customStyle="1" w:styleId="81">
    <w:name w:val="正文文本 2 字符"/>
    <w:link w:val="38"/>
    <w:qFormat/>
    <w:uiPriority w:val="0"/>
    <w:rPr>
      <w:rFonts w:ascii="Times New Roman" w:hAnsi="Times New Roman" w:eastAsia="微软雅黑" w:cs="Times New Roman"/>
      <w:i/>
      <w:iCs/>
      <w:sz w:val="26"/>
      <w:szCs w:val="24"/>
    </w:rPr>
  </w:style>
  <w:style w:type="character" w:customStyle="1" w:styleId="82">
    <w:name w:val="HTML 预设格式 字符"/>
    <w:link w:val="39"/>
    <w:qFormat/>
    <w:uiPriority w:val="0"/>
    <w:rPr>
      <w:rFonts w:ascii="宋体" w:hAnsi="宋体" w:eastAsia="微软雅黑" w:cs="Times New Roman"/>
      <w:color w:val="000000"/>
      <w:kern w:val="0"/>
      <w:sz w:val="24"/>
      <w:szCs w:val="24"/>
    </w:rPr>
  </w:style>
  <w:style w:type="character" w:customStyle="1" w:styleId="83">
    <w:name w:val="标题 字符"/>
    <w:link w:val="42"/>
    <w:qFormat/>
    <w:uiPriority w:val="0"/>
    <w:rPr>
      <w:rFonts w:ascii="Times New Roman" w:hAnsi="Times New Roman" w:eastAsia="微软雅黑" w:cs="Times New Roman"/>
      <w:kern w:val="0"/>
      <w:sz w:val="20"/>
      <w:szCs w:val="24"/>
      <w:u w:val="single"/>
      <w:lang w:eastAsia="en-US"/>
    </w:rPr>
  </w:style>
  <w:style w:type="character" w:customStyle="1" w:styleId="84">
    <w:name w:val="批注主题 字符"/>
    <w:link w:val="43"/>
    <w:qFormat/>
    <w:uiPriority w:val="0"/>
    <w:rPr>
      <w:rFonts w:ascii="Times New Roman" w:hAnsi="Times New Roman" w:eastAsia="微软雅黑" w:cs="Times New Roman"/>
      <w:b/>
      <w:bCs/>
      <w:sz w:val="24"/>
      <w:szCs w:val="24"/>
    </w:rPr>
  </w:style>
  <w:style w:type="character" w:customStyle="1" w:styleId="85">
    <w:name w:val="ht1"/>
    <w:qFormat/>
    <w:uiPriority w:val="0"/>
    <w:rPr>
      <w:rFonts w:ascii="黑体" w:eastAsia="黑体"/>
      <w:b/>
      <w:bCs/>
    </w:rPr>
  </w:style>
  <w:style w:type="character" w:customStyle="1" w:styleId="86">
    <w:name w:val="unnamed1"/>
    <w:qFormat/>
    <w:uiPriority w:val="0"/>
  </w:style>
  <w:style w:type="character" w:customStyle="1" w:styleId="87">
    <w:name w:val="普通文字 Char Char1"/>
    <w:qFormat/>
    <w:uiPriority w:val="0"/>
    <w:rPr>
      <w:rFonts w:ascii="宋体" w:hAnsi="Courier New"/>
      <w:kern w:val="2"/>
      <w:sz w:val="28"/>
      <w:szCs w:val="28"/>
    </w:rPr>
  </w:style>
  <w:style w:type="character" w:customStyle="1" w:styleId="88">
    <w:name w:val="0d1471"/>
    <w:qFormat/>
    <w:uiPriority w:val="0"/>
    <w:rPr>
      <w:color w:val="000000"/>
      <w:sz w:val="11"/>
      <w:szCs w:val="11"/>
      <w:u w:val="none"/>
    </w:rPr>
  </w:style>
  <w:style w:type="character" w:customStyle="1" w:styleId="89">
    <w:name w:val="normaltext1"/>
    <w:qFormat/>
    <w:uiPriority w:val="0"/>
    <w:rPr>
      <w:rFonts w:hint="default" w:ascii="ˎ̥" w:hAnsi="ˎ̥"/>
      <w:sz w:val="9"/>
      <w:szCs w:val="9"/>
    </w:rPr>
  </w:style>
  <w:style w:type="character" w:customStyle="1" w:styleId="90">
    <w:name w:val="14t1"/>
    <w:qFormat/>
    <w:uiPriority w:val="0"/>
    <w:rPr>
      <w:rFonts w:hint="eastAsia" w:ascii="宋体" w:hAnsi="宋体" w:eastAsia="宋体"/>
      <w:sz w:val="11"/>
      <w:szCs w:val="11"/>
    </w:rPr>
  </w:style>
  <w:style w:type="character" w:customStyle="1" w:styleId="91">
    <w:name w:val="style31"/>
    <w:qFormat/>
    <w:uiPriority w:val="0"/>
    <w:rPr>
      <w:sz w:val="10"/>
      <w:szCs w:val="10"/>
    </w:rPr>
  </w:style>
  <w:style w:type="character" w:customStyle="1" w:styleId="92">
    <w:name w:val="title11"/>
    <w:qFormat/>
    <w:uiPriority w:val="0"/>
    <w:rPr>
      <w:b/>
      <w:bCs/>
      <w:color w:val="FFFFFF"/>
      <w:sz w:val="11"/>
      <w:szCs w:val="11"/>
    </w:rPr>
  </w:style>
  <w:style w:type="character" w:customStyle="1" w:styleId="93">
    <w:name w:val="Char Char11"/>
    <w:qFormat/>
    <w:locked/>
    <w:uiPriority w:val="0"/>
    <w:rPr>
      <w:rFonts w:eastAsia="黑体"/>
      <w:kern w:val="2"/>
      <w:sz w:val="44"/>
      <w:szCs w:val="44"/>
      <w:lang w:val="en-US" w:eastAsia="zh-CN" w:bidi="ar-SA"/>
    </w:rPr>
  </w:style>
  <w:style w:type="character" w:customStyle="1" w:styleId="94">
    <w:name w:val="l1"/>
    <w:qFormat/>
    <w:uiPriority w:val="0"/>
  </w:style>
  <w:style w:type="character" w:customStyle="1" w:styleId="95">
    <w:name w:val="批注主题 Char"/>
    <w:qFormat/>
    <w:uiPriority w:val="0"/>
    <w:rPr>
      <w:rFonts w:ascii="Times New Roman" w:hAnsi="Times New Roman" w:eastAsia="微软雅黑" w:cs="Times New Roman"/>
      <w:b/>
      <w:bCs/>
      <w:sz w:val="24"/>
      <w:szCs w:val="24"/>
    </w:rPr>
  </w:style>
  <w:style w:type="character" w:customStyle="1" w:styleId="96">
    <w:name w:val="intel3"/>
    <w:qFormat/>
    <w:uiPriority w:val="0"/>
  </w:style>
  <w:style w:type="character" w:customStyle="1" w:styleId="97">
    <w:name w:val="font161"/>
    <w:qFormat/>
    <w:uiPriority w:val="0"/>
    <w:rPr>
      <w:b/>
      <w:bCs/>
      <w:sz w:val="32"/>
      <w:szCs w:val="32"/>
    </w:rPr>
  </w:style>
  <w:style w:type="character" w:customStyle="1" w:styleId="98">
    <w:name w:val="docpro"/>
    <w:qFormat/>
    <w:uiPriority w:val="0"/>
  </w:style>
  <w:style w:type="character" w:customStyle="1" w:styleId="99">
    <w:name w:val="style161"/>
    <w:qFormat/>
    <w:uiPriority w:val="0"/>
    <w:rPr>
      <w:b/>
      <w:bCs/>
      <w:color w:val="333333"/>
    </w:rPr>
  </w:style>
  <w:style w:type="character" w:customStyle="1" w:styleId="100">
    <w:name w:val="正文文本 (25)_"/>
    <w:link w:val="101"/>
    <w:qFormat/>
    <w:uiPriority w:val="0"/>
    <w:rPr>
      <w:rFonts w:ascii="MingLiU" w:hAnsi="MingLiU" w:eastAsia="MingLiU" w:cs="MingLiU"/>
      <w:spacing w:val="10"/>
      <w:sz w:val="18"/>
      <w:szCs w:val="18"/>
      <w:shd w:val="clear" w:color="auto" w:fill="FFFFFF"/>
    </w:rPr>
  </w:style>
  <w:style w:type="paragraph" w:customStyle="1" w:styleId="101">
    <w:name w:val="正文文本 (25)"/>
    <w:basedOn w:val="1"/>
    <w:link w:val="100"/>
    <w:qFormat/>
    <w:uiPriority w:val="0"/>
    <w:pPr>
      <w:shd w:val="clear" w:color="auto" w:fill="FFFFFF"/>
      <w:spacing w:before="660" w:line="312" w:lineRule="exact"/>
      <w:jc w:val="distribute"/>
    </w:pPr>
    <w:rPr>
      <w:rFonts w:ascii="MingLiU" w:hAnsi="MingLiU" w:eastAsia="MingLiU"/>
      <w:spacing w:val="10"/>
      <w:kern w:val="0"/>
      <w:sz w:val="18"/>
      <w:szCs w:val="18"/>
    </w:rPr>
  </w:style>
  <w:style w:type="character" w:customStyle="1" w:styleId="102">
    <w:name w:val="main_tdbg_7601"/>
    <w:qFormat/>
    <w:uiPriority w:val="0"/>
    <w:rPr>
      <w:sz w:val="14"/>
      <w:szCs w:val="14"/>
    </w:rPr>
  </w:style>
  <w:style w:type="character" w:customStyle="1" w:styleId="103">
    <w:name w:val="ss16"/>
    <w:qFormat/>
    <w:uiPriority w:val="0"/>
    <w:rPr>
      <w:rFonts w:hint="eastAsia" w:ascii="宋体" w:hAnsi="宋体" w:eastAsia="宋体"/>
      <w:color w:val="000000"/>
      <w:sz w:val="9"/>
      <w:szCs w:val="9"/>
    </w:rPr>
  </w:style>
  <w:style w:type="character" w:customStyle="1" w:styleId="104">
    <w:name w:val="ca-141"/>
    <w:qFormat/>
    <w:uiPriority w:val="0"/>
    <w:rPr>
      <w:rFonts w:hint="eastAsia" w:ascii="仿宋_GB2312" w:eastAsia="仿宋_GB2312"/>
      <w:sz w:val="21"/>
      <w:szCs w:val="21"/>
    </w:rPr>
  </w:style>
  <w:style w:type="character" w:customStyle="1" w:styleId="105">
    <w:name w:val="color_red1"/>
    <w:qFormat/>
    <w:uiPriority w:val="0"/>
    <w:rPr>
      <w:color w:val="FA0004"/>
    </w:rPr>
  </w:style>
  <w:style w:type="character" w:customStyle="1" w:styleId="106">
    <w:name w:val="style21"/>
    <w:qFormat/>
    <w:uiPriority w:val="0"/>
    <w:rPr>
      <w:b/>
      <w:bCs/>
      <w:sz w:val="28"/>
      <w:szCs w:val="28"/>
    </w:rPr>
  </w:style>
  <w:style w:type="character" w:customStyle="1" w:styleId="107">
    <w:name w:val="style121"/>
    <w:qFormat/>
    <w:uiPriority w:val="0"/>
    <w:rPr>
      <w:rFonts w:hint="eastAsia" w:ascii="宋体" w:hAnsi="宋体" w:eastAsia="宋体"/>
      <w:sz w:val="18"/>
      <w:szCs w:val="18"/>
    </w:rPr>
  </w:style>
  <w:style w:type="paragraph" w:customStyle="1" w:styleId="108">
    <w:name w:val="TOC 标题1"/>
    <w:basedOn w:val="3"/>
    <w:next w:val="1"/>
    <w:qFormat/>
    <w:uiPriority w:val="0"/>
    <w:pPr>
      <w:widowControl/>
      <w:spacing w:before="480" w:line="276" w:lineRule="auto"/>
      <w:outlineLvl w:val="9"/>
    </w:pPr>
    <w:rPr>
      <w:rFonts w:ascii="Cambria" w:hAnsi="Cambria"/>
      <w:color w:val="365F91"/>
      <w:kern w:val="0"/>
      <w:sz w:val="28"/>
      <w:szCs w:val="28"/>
    </w:rPr>
  </w:style>
  <w:style w:type="paragraph" w:customStyle="1" w:styleId="109">
    <w:name w:val="自定样式1"/>
    <w:basedOn w:val="1"/>
    <w:qFormat/>
    <w:uiPriority w:val="0"/>
    <w:pPr>
      <w:suppressAutoHyphens/>
      <w:jc w:val="center"/>
    </w:pPr>
    <w:rPr>
      <w:rFonts w:ascii="宋体" w:hAnsi="宋体"/>
      <w:color w:val="000000"/>
      <w:sz w:val="18"/>
    </w:rPr>
  </w:style>
  <w:style w:type="paragraph" w:customStyle="1" w:styleId="110">
    <w:name w:val="WW-表格内容"/>
    <w:basedOn w:val="1"/>
    <w:qFormat/>
    <w:uiPriority w:val="0"/>
    <w:pPr>
      <w:suppressLineNumbers/>
      <w:suppressAutoHyphens/>
    </w:pPr>
  </w:style>
  <w:style w:type="paragraph" w:customStyle="1" w:styleId="111">
    <w:name w:val="WPSOffice手动目录 2"/>
    <w:qFormat/>
    <w:uiPriority w:val="0"/>
    <w:pPr>
      <w:ind w:left="200" w:leftChars="200"/>
    </w:pPr>
    <w:rPr>
      <w:rFonts w:ascii="Calibri" w:hAnsi="Calibri" w:eastAsia="宋体" w:cs="Times New Roman"/>
      <w:lang w:val="en-US" w:eastAsia="zh-CN" w:bidi="ar-SA"/>
    </w:rPr>
  </w:style>
  <w:style w:type="paragraph" w:customStyle="1" w:styleId="112">
    <w:name w:val="intel1"/>
    <w:basedOn w:val="1"/>
    <w:qFormat/>
    <w:uiPriority w:val="0"/>
    <w:pPr>
      <w:widowControl/>
      <w:spacing w:before="100" w:beforeAutospacing="1" w:after="100" w:afterAutospacing="1"/>
    </w:pPr>
    <w:rPr>
      <w:rFonts w:ascii="宋体" w:hAnsi="宋体" w:cs="宋体"/>
      <w:kern w:val="0"/>
    </w:rPr>
  </w:style>
  <w:style w:type="paragraph" w:customStyle="1" w:styleId="113">
    <w:name w:val="样式4"/>
    <w:basedOn w:val="29"/>
    <w:qFormat/>
    <w:uiPriority w:val="0"/>
    <w:pPr>
      <w:tabs>
        <w:tab w:val="right" w:leader="dot" w:pos="9344"/>
        <w:tab w:val="clear" w:pos="9117"/>
      </w:tabs>
      <w:spacing w:before="240" w:after="0" w:line="480" w:lineRule="auto"/>
    </w:pPr>
    <w:rPr>
      <w:rFonts w:ascii="仿宋_GB2312" w:hAnsi="仿宋_GB2312" w:eastAsia="黑体"/>
      <w:caps w:val="0"/>
      <w:sz w:val="24"/>
      <w:szCs w:val="28"/>
    </w:rPr>
  </w:style>
  <w:style w:type="paragraph" w:customStyle="1" w:styleId="114">
    <w:name w:val="WW-表格标题"/>
    <w:basedOn w:val="110"/>
    <w:qFormat/>
    <w:uiPriority w:val="0"/>
  </w:style>
  <w:style w:type="paragraph" w:customStyle="1" w:styleId="115">
    <w:name w:val="l-2"/>
    <w:basedOn w:val="1"/>
    <w:qFormat/>
    <w:uiPriority w:val="0"/>
    <w:pPr>
      <w:widowControl/>
      <w:spacing w:before="100" w:beforeAutospacing="1" w:after="100" w:afterAutospacing="1"/>
    </w:pPr>
    <w:rPr>
      <w:rFonts w:ascii="宋体" w:hAnsi="宋体" w:cs="宋体"/>
      <w:b/>
      <w:bCs/>
      <w:color w:val="000000"/>
      <w:kern w:val="0"/>
      <w:sz w:val="13"/>
      <w:szCs w:val="13"/>
    </w:rPr>
  </w:style>
  <w:style w:type="paragraph" w:customStyle="1" w:styleId="116">
    <w:name w:val="g2"/>
    <w:basedOn w:val="1"/>
    <w:qFormat/>
    <w:uiPriority w:val="0"/>
    <w:pPr>
      <w:widowControl/>
      <w:spacing w:before="100" w:beforeAutospacing="1" w:after="100" w:afterAutospacing="1"/>
    </w:pPr>
    <w:rPr>
      <w:rFonts w:ascii="仿宋_GB2312" w:hAnsi="宋体" w:eastAsia="仿宋_GB2312" w:cs="宋体"/>
      <w:kern w:val="0"/>
      <w:sz w:val="17"/>
      <w:szCs w:val="17"/>
    </w:rPr>
  </w:style>
  <w:style w:type="paragraph" w:customStyle="1" w:styleId="11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8">
    <w:name w:val="表格文字（大）"/>
    <w:basedOn w:val="1"/>
    <w:qFormat/>
    <w:uiPriority w:val="0"/>
    <w:pPr>
      <w:spacing w:before="20" w:after="20"/>
    </w:pPr>
    <w:rPr>
      <w:rFonts w:ascii="Century Gothic" w:hAnsi="Century Gothic"/>
      <w:szCs w:val="20"/>
    </w:rPr>
  </w:style>
  <w:style w:type="paragraph" w:customStyle="1" w:styleId="119">
    <w:name w:val="小标题"/>
    <w:basedOn w:val="120"/>
    <w:next w:val="120"/>
    <w:qFormat/>
    <w:uiPriority w:val="0"/>
    <w:pPr>
      <w:outlineLvl w:val="2"/>
    </w:pPr>
  </w:style>
  <w:style w:type="paragraph" w:customStyle="1" w:styleId="120">
    <w:name w:val="招标正文"/>
    <w:basedOn w:val="1"/>
    <w:qFormat/>
    <w:uiPriority w:val="0"/>
    <w:pPr>
      <w:spacing w:line="300" w:lineRule="auto"/>
      <w:ind w:firstLine="420" w:firstLineChars="200"/>
    </w:pPr>
    <w:rPr>
      <w:rFonts w:ascii="宋体" w:hAnsi="宋体"/>
      <w:szCs w:val="21"/>
    </w:rPr>
  </w:style>
  <w:style w:type="paragraph" w:customStyle="1" w:styleId="121">
    <w:name w:val="rr"/>
    <w:basedOn w:val="1"/>
    <w:qFormat/>
    <w:uiPriority w:val="0"/>
    <w:pPr>
      <w:widowControl/>
      <w:spacing w:before="100" w:beforeAutospacing="1" w:after="100" w:afterAutospacing="1"/>
    </w:pPr>
    <w:rPr>
      <w:rFonts w:hint="eastAsia" w:ascii="宋体" w:hAnsi="宋体"/>
      <w:kern w:val="0"/>
      <w:szCs w:val="21"/>
    </w:rPr>
  </w:style>
  <w:style w:type="paragraph" w:customStyle="1" w:styleId="122">
    <w:name w:val="列出段落1"/>
    <w:basedOn w:val="1"/>
    <w:qFormat/>
    <w:uiPriority w:val="34"/>
    <w:pPr>
      <w:numPr>
        <w:ilvl w:val="0"/>
        <w:numId w:val="1"/>
      </w:numPr>
      <w:tabs>
        <w:tab w:val="left" w:pos="2100"/>
        <w:tab w:val="left" w:pos="2640"/>
        <w:tab w:val="left" w:pos="2840"/>
        <w:tab w:val="left" w:pos="3580"/>
        <w:tab w:val="left" w:pos="4520"/>
        <w:tab w:val="left" w:pos="5060"/>
        <w:tab w:val="left" w:pos="5260"/>
        <w:tab w:val="left" w:pos="6100"/>
        <w:tab w:val="left" w:pos="6220"/>
      </w:tabs>
      <w:snapToGrid w:val="0"/>
    </w:pPr>
    <w:rPr>
      <w:szCs w:val="28"/>
    </w:rPr>
  </w:style>
  <w:style w:type="paragraph" w:customStyle="1" w:styleId="123">
    <w:name w:val="表格内容"/>
    <w:basedOn w:val="1"/>
    <w:qFormat/>
    <w:uiPriority w:val="0"/>
    <w:pPr>
      <w:suppressLineNumbers/>
      <w:suppressAutoHyphens/>
    </w:pPr>
  </w:style>
  <w:style w:type="paragraph" w:customStyle="1" w:styleId="124">
    <w:name w:val="Char Char1 Char Char Char Char"/>
    <w:basedOn w:val="1"/>
    <w:qFormat/>
    <w:uiPriority w:val="0"/>
    <w:rPr>
      <w:szCs w:val="20"/>
    </w:rPr>
  </w:style>
  <w:style w:type="paragraph" w:customStyle="1" w:styleId="125">
    <w:name w:val="样式 标题 2 + Times New Roman 四号 非加粗 段前: 5 磅 段后: 0 磅 行距: 固定值 20..."/>
    <w:basedOn w:val="4"/>
    <w:qFormat/>
    <w:uiPriority w:val="0"/>
    <w:pPr>
      <w:spacing w:before="100" w:line="400" w:lineRule="exact"/>
    </w:pPr>
    <w:rPr>
      <w:rFonts w:eastAsia="黑体" w:cs="宋体"/>
      <w:b w:val="0"/>
      <w:bCs w:val="0"/>
      <w:sz w:val="28"/>
      <w:szCs w:val="20"/>
    </w:rPr>
  </w:style>
  <w:style w:type="paragraph" w:customStyle="1" w:styleId="126">
    <w:name w:val="表格文字"/>
    <w:basedOn w:val="1"/>
    <w:qFormat/>
    <w:uiPriority w:val="0"/>
    <w:pPr>
      <w:adjustRightInd w:val="0"/>
      <w:spacing w:line="420" w:lineRule="atLeast"/>
      <w:textAlignment w:val="baseline"/>
    </w:pPr>
    <w:rPr>
      <w:kern w:val="0"/>
      <w:szCs w:val="20"/>
    </w:rPr>
  </w:style>
  <w:style w:type="paragraph" w:customStyle="1" w:styleId="1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8">
    <w:name w:val="style12"/>
    <w:basedOn w:val="1"/>
    <w:qFormat/>
    <w:uiPriority w:val="0"/>
    <w:pPr>
      <w:widowControl/>
      <w:spacing w:before="100" w:beforeAutospacing="1" w:after="100" w:afterAutospacing="1"/>
    </w:pPr>
    <w:rPr>
      <w:rFonts w:ascii="宋体" w:hAnsi="宋体" w:cs="宋体"/>
      <w:kern w:val="0"/>
      <w:sz w:val="18"/>
      <w:szCs w:val="18"/>
    </w:rPr>
  </w:style>
  <w:style w:type="paragraph" w:customStyle="1" w:styleId="12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0">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131">
    <w:name w:val="g11"/>
    <w:basedOn w:val="1"/>
    <w:qFormat/>
    <w:uiPriority w:val="0"/>
    <w:pPr>
      <w:widowControl/>
      <w:spacing w:before="100" w:beforeAutospacing="1" w:after="100" w:afterAutospacing="1" w:line="465" w:lineRule="atLeast"/>
    </w:pPr>
    <w:rPr>
      <w:rFonts w:ascii="华文中宋" w:hAnsi="华文中宋" w:eastAsia="华文中宋" w:cs="宋体"/>
      <w:b/>
      <w:bCs/>
      <w:color w:val="FF0000"/>
      <w:kern w:val="0"/>
      <w:sz w:val="31"/>
      <w:szCs w:val="31"/>
    </w:rPr>
  </w:style>
  <w:style w:type="paragraph" w:customStyle="1" w:styleId="132">
    <w:name w:val="没有缩进（为图形使用）"/>
    <w:basedOn w:val="1"/>
    <w:qFormat/>
    <w:uiPriority w:val="0"/>
    <w:pPr>
      <w:spacing w:before="120" w:after="120"/>
    </w:pPr>
    <w:rPr>
      <w:szCs w:val="20"/>
    </w:rPr>
  </w:style>
  <w:style w:type="paragraph" w:customStyle="1" w:styleId="133">
    <w:name w:val="pa-34"/>
    <w:basedOn w:val="1"/>
    <w:qFormat/>
    <w:uiPriority w:val="0"/>
    <w:pPr>
      <w:widowControl/>
      <w:spacing w:line="360" w:lineRule="atLeast"/>
      <w:ind w:firstLine="420"/>
    </w:pPr>
    <w:rPr>
      <w:rFonts w:ascii="宋体" w:hAnsi="宋体" w:cs="宋体"/>
      <w:kern w:val="0"/>
    </w:rPr>
  </w:style>
  <w:style w:type="paragraph" w:customStyle="1" w:styleId="134">
    <w:name w:val="表格标题"/>
    <w:basedOn w:val="123"/>
    <w:qFormat/>
    <w:uiPriority w:val="0"/>
  </w:style>
  <w:style w:type="paragraph" w:customStyle="1" w:styleId="135">
    <w:name w:val="标准正文"/>
    <w:basedOn w:val="1"/>
    <w:qFormat/>
    <w:uiPriority w:val="0"/>
    <w:pPr>
      <w:tabs>
        <w:tab w:val="left" w:pos="900"/>
        <w:tab w:val="left" w:pos="1620"/>
      </w:tabs>
      <w:spacing w:line="300" w:lineRule="auto"/>
      <w:ind w:firstLine="538"/>
    </w:pPr>
    <w:rPr>
      <w:rFonts w:ascii="仿宋_GB2312" w:hAnsi="宋体" w:eastAsia="仿宋_GB2312"/>
      <w:kern w:val="0"/>
      <w:szCs w:val="20"/>
    </w:rPr>
  </w:style>
  <w:style w:type="paragraph" w:customStyle="1" w:styleId="136">
    <w:name w:val="正文（首行缩进0.85厘米）"/>
    <w:basedOn w:val="1"/>
    <w:qFormat/>
    <w:uiPriority w:val="0"/>
    <w:pPr>
      <w:spacing w:line="480" w:lineRule="exact"/>
      <w:ind w:firstLine="482" w:firstLineChars="200"/>
    </w:pPr>
  </w:style>
  <w:style w:type="paragraph" w:customStyle="1" w:styleId="13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9">
    <w:name w:val="Char Char Char Char Char Char Char Char Char"/>
    <w:basedOn w:val="1"/>
    <w:qFormat/>
    <w:uiPriority w:val="0"/>
    <w:pPr>
      <w:widowControl/>
      <w:spacing w:after="160" w:line="240" w:lineRule="exact"/>
    </w:pPr>
    <w:rPr>
      <w:rFonts w:ascii="Verdana" w:hAnsi="Verdana" w:eastAsia="仿宋_GB2312"/>
      <w:kern w:val="0"/>
      <w:szCs w:val="20"/>
      <w:lang w:eastAsia="en-US"/>
    </w:rPr>
  </w:style>
  <w:style w:type="paragraph" w:customStyle="1" w:styleId="140">
    <w:name w:val="Table Paragraph"/>
    <w:basedOn w:val="1"/>
    <w:qFormat/>
    <w:uiPriority w:val="1"/>
  </w:style>
  <w:style w:type="paragraph" w:customStyle="1" w:styleId="141">
    <w:name w:val="pa-27"/>
    <w:basedOn w:val="1"/>
    <w:qFormat/>
    <w:uiPriority w:val="0"/>
    <w:pPr>
      <w:widowControl/>
      <w:spacing w:line="360" w:lineRule="atLeast"/>
      <w:ind w:firstLine="420"/>
    </w:pPr>
    <w:rPr>
      <w:rFonts w:ascii="宋体" w:hAnsi="宋体" w:cs="宋体"/>
      <w:kern w:val="0"/>
    </w:rPr>
  </w:style>
  <w:style w:type="paragraph" w:customStyle="1" w:styleId="142">
    <w:name w:val="WPSOffice手动目录 3"/>
    <w:qFormat/>
    <w:uiPriority w:val="0"/>
    <w:pPr>
      <w:ind w:left="400" w:leftChars="400"/>
    </w:pPr>
    <w:rPr>
      <w:rFonts w:ascii="Calibri" w:hAnsi="Calibri" w:eastAsia="宋体" w:cs="Times New Roman"/>
      <w:lang w:val="en-US" w:eastAsia="zh-CN" w:bidi="ar-SA"/>
    </w:rPr>
  </w:style>
  <w:style w:type="paragraph" w:customStyle="1" w:styleId="143">
    <w:name w:val="g3"/>
    <w:basedOn w:val="1"/>
    <w:qFormat/>
    <w:uiPriority w:val="0"/>
    <w:pPr>
      <w:widowControl/>
      <w:spacing w:before="100" w:beforeAutospacing="1" w:after="100" w:afterAutospacing="1"/>
    </w:pPr>
    <w:rPr>
      <w:rFonts w:ascii="宋体" w:hAnsi="宋体" w:cs="宋体"/>
      <w:kern w:val="0"/>
    </w:rPr>
  </w:style>
  <w:style w:type="paragraph" w:customStyle="1" w:styleId="14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45">
    <w:name w:val="标题1"/>
    <w:basedOn w:val="1"/>
    <w:qFormat/>
    <w:uiPriority w:val="0"/>
    <w:pPr>
      <w:widowControl/>
      <w:spacing w:before="100" w:beforeAutospacing="1" w:after="100" w:afterAutospacing="1"/>
    </w:pPr>
    <w:rPr>
      <w:rFonts w:ascii="宋体" w:hAnsi="宋体" w:cs="宋体"/>
      <w:kern w:val="0"/>
    </w:rPr>
  </w:style>
  <w:style w:type="paragraph" w:customStyle="1" w:styleId="146">
    <w:name w:val="表格"/>
    <w:basedOn w:val="1"/>
    <w:qFormat/>
    <w:uiPriority w:val="0"/>
    <w:pPr>
      <w:jc w:val="center"/>
      <w:textAlignment w:val="center"/>
    </w:pPr>
    <w:rPr>
      <w:rFonts w:ascii="华文细黑" w:hAnsi="华文细黑"/>
      <w:kern w:val="0"/>
      <w:szCs w:val="20"/>
    </w:rPr>
  </w:style>
  <w:style w:type="paragraph" w:customStyle="1" w:styleId="147">
    <w:name w:val="Char Char Char Char Char Char Char"/>
    <w:basedOn w:val="1"/>
    <w:qFormat/>
    <w:uiPriority w:val="0"/>
    <w:pPr>
      <w:widowControl/>
      <w:spacing w:after="160" w:line="240" w:lineRule="exact"/>
    </w:pPr>
    <w:rPr>
      <w:rFonts w:ascii="Verdana" w:hAnsi="Verdana" w:eastAsia="仿宋_GB2312"/>
      <w:kern w:val="0"/>
      <w:szCs w:val="20"/>
      <w:lang w:eastAsia="en-US"/>
    </w:rPr>
  </w:style>
  <w:style w:type="paragraph" w:customStyle="1" w:styleId="148">
    <w:name w:val="p0"/>
    <w:basedOn w:val="1"/>
    <w:qFormat/>
    <w:uiPriority w:val="0"/>
    <w:pPr>
      <w:widowControl/>
      <w:spacing w:before="100" w:beforeAutospacing="1" w:after="100" w:afterAutospacing="1"/>
    </w:pPr>
    <w:rPr>
      <w:rFonts w:ascii="宋体" w:hAnsi="宋体" w:cs="宋体"/>
      <w:kern w:val="0"/>
    </w:rPr>
  </w:style>
  <w:style w:type="paragraph" w:customStyle="1" w:styleId="149">
    <w:name w:val="1"/>
    <w:basedOn w:val="1"/>
    <w:qFormat/>
    <w:uiPriority w:val="0"/>
    <w:pPr>
      <w:widowControl/>
      <w:spacing w:before="100" w:beforeAutospacing="1" w:after="100" w:afterAutospacing="1"/>
    </w:pPr>
    <w:rPr>
      <w:rFonts w:ascii="ˎ̥" w:hAnsi="ˎ̥" w:cs="宋体"/>
      <w:kern w:val="0"/>
    </w:rPr>
  </w:style>
  <w:style w:type="paragraph" w:customStyle="1" w:styleId="150">
    <w:name w:val="样式3"/>
    <w:basedOn w:val="32"/>
    <w:qFormat/>
    <w:uiPriority w:val="0"/>
    <w:pPr>
      <w:ind w:left="0" w:firstLine="0" w:firstLineChars="0"/>
    </w:pPr>
    <w:rPr>
      <w:szCs w:val="20"/>
    </w:rPr>
  </w:style>
  <w:style w:type="paragraph" w:customStyle="1" w:styleId="151">
    <w:name w:val="招标节"/>
    <w:basedOn w:val="1"/>
    <w:next w:val="119"/>
    <w:qFormat/>
    <w:uiPriority w:val="0"/>
    <w:pPr>
      <w:spacing w:beforeLines="50" w:afterLines="50"/>
      <w:outlineLvl w:val="1"/>
    </w:pPr>
    <w:rPr>
      <w:b/>
      <w:sz w:val="24"/>
    </w:rPr>
  </w:style>
  <w:style w:type="paragraph" w:customStyle="1" w:styleId="15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5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4">
    <w:name w:val="WPSOffice手动目录 1"/>
    <w:qFormat/>
    <w:uiPriority w:val="0"/>
    <w:rPr>
      <w:rFonts w:ascii="Calibri" w:hAnsi="Calibri" w:eastAsia="宋体" w:cs="Times New Roman"/>
      <w:lang w:val="en-US" w:eastAsia="zh-CN" w:bidi="ar-SA"/>
    </w:rPr>
  </w:style>
  <w:style w:type="paragraph" w:styleId="155">
    <w:name w:val="List Paragraph"/>
    <w:basedOn w:val="1"/>
    <w:qFormat/>
    <w:uiPriority w:val="34"/>
    <w:pPr>
      <w:tabs>
        <w:tab w:val="left" w:pos="2100"/>
        <w:tab w:val="left" w:pos="2640"/>
        <w:tab w:val="left" w:pos="2840"/>
        <w:tab w:val="left" w:pos="3580"/>
        <w:tab w:val="left" w:pos="4520"/>
        <w:tab w:val="left" w:pos="5060"/>
        <w:tab w:val="left" w:pos="5260"/>
        <w:tab w:val="left" w:pos="6100"/>
        <w:tab w:val="left" w:pos="6220"/>
      </w:tabs>
      <w:snapToGrid w:val="0"/>
      <w:ind w:left="420" w:hanging="420"/>
    </w:pPr>
    <w:rPr>
      <w:szCs w:val="28"/>
    </w:rPr>
  </w:style>
  <w:style w:type="character" w:customStyle="1" w:styleId="156">
    <w:name w:val="5号正文 Char"/>
    <w:link w:val="157"/>
    <w:qFormat/>
    <w:uiPriority w:val="0"/>
    <w:rPr>
      <w:rFonts w:ascii="楷体_GB2312" w:hAnsi="宋体" w:eastAsia="楷体_GB2312"/>
      <w:snapToGrid w:val="0"/>
      <w:sz w:val="24"/>
      <w:szCs w:val="28"/>
      <w:lang w:val="en-US" w:eastAsia="zh-CN" w:bidi="ar-SA"/>
    </w:rPr>
  </w:style>
  <w:style w:type="paragraph" w:customStyle="1" w:styleId="157">
    <w:name w:val="5号正文"/>
    <w:link w:val="156"/>
    <w:qFormat/>
    <w:uiPriority w:val="0"/>
    <w:pPr>
      <w:widowControl w:val="0"/>
      <w:adjustRightInd w:val="0"/>
      <w:snapToGrid w:val="0"/>
      <w:spacing w:line="360" w:lineRule="auto"/>
      <w:ind w:firstLine="480" w:firstLineChars="200"/>
      <w:jc w:val="both"/>
    </w:pPr>
    <w:rPr>
      <w:rFonts w:ascii="楷体_GB2312" w:hAnsi="宋体" w:eastAsia="楷体_GB2312" w:cs="Times New Roman"/>
      <w:snapToGrid w:val="0"/>
      <w:sz w:val="24"/>
      <w:szCs w:val="28"/>
      <w:lang w:val="en-US" w:eastAsia="zh-CN" w:bidi="ar-SA"/>
    </w:rPr>
  </w:style>
  <w:style w:type="character" w:customStyle="1" w:styleId="158">
    <w:name w:val="标题 Char2"/>
    <w:qFormat/>
    <w:locked/>
    <w:uiPriority w:val="0"/>
    <w:rPr>
      <w:rFonts w:ascii="Arial" w:hAnsi="Arial" w:eastAsia="宋体" w:cs="Arial"/>
      <w:b/>
      <w:bCs/>
      <w:sz w:val="32"/>
      <w:szCs w:val="32"/>
      <w:lang w:val="en-US" w:eastAsia="zh-CN"/>
    </w:rPr>
  </w:style>
  <w:style w:type="character" w:customStyle="1" w:styleId="159">
    <w:name w:val="font01"/>
    <w:basedOn w:val="48"/>
    <w:qFormat/>
    <w:uiPriority w:val="0"/>
    <w:rPr>
      <w:rFonts w:ascii="方正仿宋_GBK" w:hAnsi="方正仿宋_GBK" w:eastAsia="方正仿宋_GBK" w:cs="方正仿宋_GBK"/>
      <w:color w:val="0000FF"/>
      <w:sz w:val="21"/>
      <w:szCs w:val="21"/>
      <w:u w:val="none"/>
    </w:rPr>
  </w:style>
  <w:style w:type="character" w:customStyle="1" w:styleId="160">
    <w:name w:val="font31"/>
    <w:basedOn w:val="48"/>
    <w:qFormat/>
    <w:uiPriority w:val="0"/>
    <w:rPr>
      <w:rFonts w:hint="eastAsia" w:ascii="方正仿宋_GBK" w:hAnsi="方正仿宋_GBK" w:eastAsia="方正仿宋_GBK" w:cs="方正仿宋_GBK"/>
      <w:color w:val="0000FF"/>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5354</Words>
  <Characters>30518</Characters>
  <Lines>254</Lines>
  <Paragraphs>71</Paragraphs>
  <TotalTime>5</TotalTime>
  <ScaleCrop>false</ScaleCrop>
  <LinksUpToDate>false</LinksUpToDate>
  <CharactersWithSpaces>35801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2021-10-11T03:30:00Z</dcterms:created>
  <dc:creator>微软用户</dc:creator>
  <cp:lastModifiedBy>张胜愚</cp:lastModifiedBy>
  <cp:lastPrinted>2022-09-01T09:11:00Z</cp:lastPrinted>
  <dcterms:modified xsi:type="dcterms:W3CDTF">2023-08-25T01:58:56Z</dcterms:modified>
  <dc:title>项目名称：重庆市铜梁区龙泽水务有限责任公司自来水用户水表抄收服务外包</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C06B32BB81D348ADB8DE7296BBA6DB43</vt:lpwstr>
  </property>
</Properties>
</file>